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C688D06" w14:textId="4B9ACE95" w:rsidR="001B62E2" w:rsidRDefault="005757E3" w:rsidP="0023647B">
      <w:pPr>
        <w:pStyle w:val="Titre1"/>
        <w:bidi/>
        <w:rPr>
          <w:lang w:val="fr-FR" w:bidi="ar-EG"/>
        </w:rPr>
      </w:pPr>
      <w:bookmarkStart w:id="0" w:name="تقديم"/>
      <w:r>
        <w:rPr>
          <w:noProof/>
          <w:rtl w:val="0"/>
        </w:rPr>
        <w:drawing>
          <wp:anchor distT="0" distB="0" distL="114300" distR="114300" simplePos="0" relativeHeight="251658240" behindDoc="0" locked="0" layoutInCell="1" allowOverlap="1" wp14:anchorId="24708001" wp14:editId="224DB0C7">
            <wp:simplePos x="0" y="0"/>
            <wp:positionH relativeFrom="column">
              <wp:posOffset>1806575</wp:posOffset>
            </wp:positionH>
            <wp:positionV relativeFrom="paragraph">
              <wp:posOffset>0</wp:posOffset>
            </wp:positionV>
            <wp:extent cx="2781300" cy="527685"/>
            <wp:effectExtent l="0" t="0" r="0" b="5715"/>
            <wp:wrapSquare wrapText="bothSides"/>
            <wp:docPr id="2067462332"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781300" cy="527685"/>
                    </a:xfrm>
                    <a:prstGeom prst="rect">
                      <a:avLst/>
                    </a:prstGeom>
                    <a:noFill/>
                  </pic:spPr>
                </pic:pic>
              </a:graphicData>
            </a:graphic>
            <wp14:sizeRelH relativeFrom="margin">
              <wp14:pctWidth>0</wp14:pctWidth>
            </wp14:sizeRelH>
            <wp14:sizeRelV relativeFrom="margin">
              <wp14:pctHeight>0</wp14:pctHeight>
            </wp14:sizeRelV>
          </wp:anchor>
        </w:drawing>
      </w:r>
      <w:bookmarkEnd w:id="0"/>
    </w:p>
    <w:tbl>
      <w:tblPr>
        <w:tblStyle w:val="Grilledutableau"/>
        <w:bidiVisual/>
        <w:tblW w:w="10358" w:type="dxa"/>
        <w:tblInd w:w="-327" w:type="dxa"/>
        <w:tblLook w:val="04A0" w:firstRow="1" w:lastRow="0" w:firstColumn="1" w:lastColumn="0" w:noHBand="0" w:noVBand="1"/>
      </w:tblPr>
      <w:tblGrid>
        <w:gridCol w:w="10358"/>
      </w:tblGrid>
      <w:tr w:rsidR="0023647B" w14:paraId="1DA48165" w14:textId="77777777" w:rsidTr="0023647B">
        <w:trPr>
          <w:trHeight w:val="432"/>
        </w:trPr>
        <w:tc>
          <w:tcPr>
            <w:tcW w:w="10358" w:type="dxa"/>
            <w:tcBorders>
              <w:top w:val="nil"/>
              <w:left w:val="nil"/>
              <w:bottom w:val="nil"/>
              <w:right w:val="nil"/>
            </w:tcBorders>
            <w:shd w:val="clear" w:color="auto" w:fill="FFFF00"/>
          </w:tcPr>
          <w:p w14:paraId="6057A6BD" w14:textId="49398E96" w:rsidR="0023647B" w:rsidRPr="0023647B" w:rsidRDefault="0023647B" w:rsidP="0023647B">
            <w:pPr>
              <w:pStyle w:val="Corpsdetexte"/>
              <w:bidi/>
              <w:jc w:val="center"/>
              <w:rPr>
                <w:rFonts w:ascii="Calibri" w:hAnsi="Calibri" w:cs="Calibri"/>
                <w:bCs/>
                <w:color w:val="EE0000"/>
                <w:sz w:val="28"/>
                <w:szCs w:val="28"/>
                <w:highlight w:val="yellow"/>
                <w:lang w:val="fr-FR" w:bidi="ar-E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23647B">
              <w:rPr>
                <w:rFonts w:ascii="Calibri" w:hAnsi="Calibri" w:cs="Calibri"/>
                <w:bCs/>
                <w:color w:val="EE0000"/>
                <w:sz w:val="28"/>
                <w:szCs w:val="28"/>
                <w:highlight w:val="yellow"/>
                <w:lang w:val="fr-FR" w:bidi="ar-E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تقرير حول مجريات اليوم الثاني من الدورة الوطنية حول التعليم الصريح</w:t>
            </w:r>
          </w:p>
        </w:tc>
      </w:tr>
    </w:tbl>
    <w:p w14:paraId="23DFF1FE" w14:textId="2B37549F" w:rsidR="0023647B" w:rsidRDefault="0023647B" w:rsidP="0023647B">
      <w:pPr>
        <w:pStyle w:val="Titre2"/>
        <w:bidi/>
        <w:spacing w:before="0"/>
      </w:pPr>
      <w:r>
        <w:t xml:space="preserve">1. </w:t>
      </w:r>
      <w:r w:rsidRPr="009945A5">
        <w:rPr>
          <w:rFonts w:ascii="Calibri" w:hAnsi="Calibri" w:cs="Calibri"/>
        </w:rPr>
        <w:t>مقدمة</w:t>
      </w:r>
      <w:r>
        <w:t xml:space="preserve"> </w:t>
      </w:r>
    </w:p>
    <w:p w14:paraId="615351DF" w14:textId="40074570" w:rsidR="0023647B" w:rsidRPr="0023647B" w:rsidRDefault="0023647B" w:rsidP="0023647B">
      <w:pPr>
        <w:bidi/>
        <w:spacing w:after="0"/>
        <w:rPr>
          <w:rFonts w:ascii="Calibri" w:hAnsi="Calibri" w:cs="Calibri"/>
          <w:b/>
          <w:bCs/>
          <w:sz w:val="20"/>
          <w:szCs w:val="20"/>
        </w:rPr>
      </w:pPr>
      <w:r w:rsidRPr="0023647B">
        <w:rPr>
          <w:rFonts w:ascii="Calibri" w:hAnsi="Calibri" w:cs="Calibri"/>
          <w:b/>
          <w:bCs/>
          <w:sz w:val="20"/>
          <w:szCs w:val="20"/>
        </w:rPr>
        <w:t xml:space="preserve">في إطار الدورة الوطنية حول التعليم الصريح، الموجهة إلى أساتذة وأستاذات مؤسسات الريادة برسم موسم 2026 / 2027، خُصص اليوم الثاني من التكوين لورشتي: ورشة الرياضيات وورشة النشاط </w:t>
      </w:r>
      <w:r w:rsidRPr="0023647B">
        <w:rPr>
          <w:rFonts w:ascii="Calibri" w:hAnsi="Calibri" w:cs="Calibri" w:hint="cs"/>
          <w:b/>
          <w:bCs/>
          <w:sz w:val="20"/>
          <w:szCs w:val="20"/>
        </w:rPr>
        <w:t>العلمي</w:t>
      </w:r>
      <w:r>
        <w:rPr>
          <w:rFonts w:ascii="Calibri" w:hAnsi="Calibri" w:cs="Calibri" w:hint="cs"/>
          <w:b/>
          <w:bCs/>
          <w:sz w:val="20"/>
          <w:szCs w:val="20"/>
        </w:rPr>
        <w:t>.</w:t>
      </w:r>
    </w:p>
    <w:p w14:paraId="5478C57B" w14:textId="77777777" w:rsidR="0023647B" w:rsidRPr="0023647B" w:rsidRDefault="0023647B" w:rsidP="0023647B">
      <w:pPr>
        <w:pStyle w:val="Titre2"/>
        <w:bidi/>
        <w:spacing w:before="0"/>
        <w:rPr>
          <w:rFonts w:ascii="Calibri" w:hAnsi="Calibri" w:cs="Calibri"/>
          <w:sz w:val="24"/>
          <w:szCs w:val="24"/>
          <w:u w:val="single"/>
        </w:rPr>
      </w:pPr>
      <w:r w:rsidRPr="0023647B">
        <w:rPr>
          <w:rFonts w:ascii="Calibri" w:hAnsi="Calibri" w:cs="Calibri"/>
          <w:sz w:val="24"/>
          <w:szCs w:val="24"/>
          <w:u w:val="single"/>
        </w:rPr>
        <w:t>2. محاور اليوم الثاني</w:t>
      </w:r>
    </w:p>
    <w:p w14:paraId="383CE7FC" w14:textId="77777777" w:rsidR="0023647B" w:rsidRPr="0023647B" w:rsidRDefault="0023647B" w:rsidP="0023647B">
      <w:pPr>
        <w:pStyle w:val="Paragraphedeliste"/>
        <w:numPr>
          <w:ilvl w:val="0"/>
          <w:numId w:val="13"/>
        </w:numPr>
        <w:bidi/>
        <w:spacing w:after="0"/>
        <w:rPr>
          <w:b/>
          <w:bCs/>
          <w:sz w:val="20"/>
          <w:szCs w:val="20"/>
        </w:rPr>
      </w:pPr>
      <w:r w:rsidRPr="0023647B">
        <w:rPr>
          <w:b/>
          <w:bCs/>
          <w:sz w:val="20"/>
          <w:szCs w:val="20"/>
          <w:rtl/>
        </w:rPr>
        <w:t>ورشة الرياضيات: مستجدات برنامج الرياضيات بالسلك الابتدائي؛ التأكد من تحقق أهداف التعلم؛ انتظام مضامين التعلم والمصفوفات؛ هيكلة حصص التعلم مع عرض نموذج درس.</w:t>
      </w:r>
    </w:p>
    <w:p w14:paraId="139C8265" w14:textId="77777777" w:rsidR="0023647B" w:rsidRPr="0023647B" w:rsidRDefault="0023647B" w:rsidP="0023647B">
      <w:pPr>
        <w:pStyle w:val="Paragraphedeliste"/>
        <w:numPr>
          <w:ilvl w:val="0"/>
          <w:numId w:val="13"/>
        </w:numPr>
        <w:bidi/>
        <w:spacing w:after="0"/>
        <w:rPr>
          <w:b/>
          <w:bCs/>
          <w:sz w:val="20"/>
          <w:szCs w:val="20"/>
        </w:rPr>
      </w:pPr>
      <w:r w:rsidRPr="0023647B">
        <w:rPr>
          <w:b/>
          <w:bCs/>
          <w:sz w:val="20"/>
          <w:szCs w:val="20"/>
          <w:rtl/>
        </w:rPr>
        <w:t>ورشة النشاط العلمي: دواعي ومبادئ تحيين البرنامج الدراسي؛ تدريس النشاط العلمي في مدارس الريادة؛ عدة تدريس النشاط العلمي بمدارس الريادة.</w:t>
      </w:r>
    </w:p>
    <w:p w14:paraId="764319FB" w14:textId="77777777" w:rsidR="0023647B" w:rsidRPr="009945A5" w:rsidRDefault="0023647B" w:rsidP="0023647B">
      <w:pPr>
        <w:pStyle w:val="Titre2"/>
        <w:shd w:val="clear" w:color="auto" w:fill="FFFF00"/>
        <w:bidi/>
        <w:spacing w:before="0"/>
        <w:jc w:val="center"/>
        <w:rPr>
          <w:rFonts w:ascii="Calibri" w:hAnsi="Calibri" w:cs="Calibri"/>
          <w:u w:val="single"/>
        </w:rPr>
      </w:pPr>
      <w:r w:rsidRPr="009945A5">
        <w:rPr>
          <w:rFonts w:ascii="Calibri" w:hAnsi="Calibri" w:cs="Calibri"/>
          <w:u w:val="single"/>
        </w:rPr>
        <w:t>3. ورشة الرياضيات</w:t>
      </w:r>
    </w:p>
    <w:p w14:paraId="0748A25B" w14:textId="77777777" w:rsidR="0023647B" w:rsidRPr="0023647B" w:rsidRDefault="0023647B" w:rsidP="0023647B">
      <w:pPr>
        <w:pStyle w:val="Titre3"/>
        <w:bidi/>
        <w:spacing w:before="0"/>
        <w:rPr>
          <w:rFonts w:ascii="Calibri" w:hAnsi="Calibri" w:cs="Calibri"/>
          <w:color w:val="C0504D" w:themeColor="accent2"/>
          <w:u w:val="single"/>
        </w:rPr>
      </w:pPr>
      <w:r w:rsidRPr="0023647B">
        <w:rPr>
          <w:rFonts w:ascii="Calibri" w:hAnsi="Calibri" w:cs="Calibri"/>
          <w:color w:val="C0504D" w:themeColor="accent2"/>
          <w:u w:val="single"/>
        </w:rPr>
        <w:t>3.1. مستجدات برنامج الرياضيات بالسلك الابتدائي</w:t>
      </w:r>
    </w:p>
    <w:p w14:paraId="08892D64" w14:textId="64DA8C65" w:rsidR="0023647B" w:rsidRPr="0023647B" w:rsidRDefault="0023647B" w:rsidP="0023647B">
      <w:pPr>
        <w:bidi/>
        <w:spacing w:after="0"/>
        <w:rPr>
          <w:rFonts w:ascii="Calibri" w:hAnsi="Calibri" w:cs="Calibri"/>
          <w:b/>
          <w:bCs/>
          <w:sz w:val="20"/>
          <w:szCs w:val="20"/>
        </w:rPr>
      </w:pPr>
      <w:r w:rsidRPr="0023647B">
        <w:rPr>
          <w:rFonts w:ascii="Calibri" w:hAnsi="Calibri" w:cs="Calibri"/>
          <w:b/>
          <w:bCs/>
          <w:sz w:val="20"/>
          <w:szCs w:val="20"/>
        </w:rPr>
        <w:t xml:space="preserve">يهدف برنامج الرياضيات للمرحلة الابتدائية إلى تزويد المتعلمين بالمهارات الحسابية والتفكير المنطقي واستراتيجيات حل المسائل. وتقوم هيكلته على الاختيارات البيداغوجية الآتية: وظيفية الأدوات والمفاهيم؛ التنظيم وفق </w:t>
      </w:r>
      <w:r w:rsidRPr="0023647B">
        <w:rPr>
          <w:rFonts w:ascii="Calibri" w:hAnsi="Calibri" w:cs="Calibri" w:hint="cs"/>
          <w:b/>
          <w:bCs/>
          <w:sz w:val="20"/>
          <w:szCs w:val="20"/>
        </w:rPr>
        <w:t>أربع</w:t>
      </w:r>
      <w:r w:rsidRPr="0023647B">
        <w:rPr>
          <w:rFonts w:ascii="Calibri" w:hAnsi="Calibri" w:cs="Calibri"/>
          <w:b/>
          <w:bCs/>
          <w:sz w:val="20"/>
          <w:szCs w:val="20"/>
        </w:rPr>
        <w:t xml:space="preserve"> مجالات دراسية؛ بناء البرنامج وفق خمس وحدات؛ وحدة الموضوع الأسبوعي (دروس متظافرة تشتغل على مفهوم متجانس)؛ حصص يومية بهدف تعلمي واحد في كل حصة، بمعدل خمس حصص في الأسبوع. وتتوزع المستجدات على المجالات الآتية:</w:t>
      </w:r>
    </w:p>
    <w:p w14:paraId="119F0EE0" w14:textId="77777777" w:rsidR="0023647B" w:rsidRPr="0023647B" w:rsidRDefault="0023647B" w:rsidP="0023647B">
      <w:pPr>
        <w:pStyle w:val="Paragraphedeliste"/>
        <w:numPr>
          <w:ilvl w:val="0"/>
          <w:numId w:val="13"/>
        </w:numPr>
        <w:bidi/>
        <w:spacing w:after="0"/>
        <w:rPr>
          <w:b/>
          <w:bCs/>
          <w:sz w:val="20"/>
          <w:szCs w:val="20"/>
        </w:rPr>
      </w:pPr>
      <w:r w:rsidRPr="0023647B">
        <w:rPr>
          <w:b/>
          <w:bCs/>
          <w:sz w:val="20"/>
          <w:szCs w:val="20"/>
          <w:shd w:val="clear" w:color="auto" w:fill="FFFF00"/>
          <w:rtl/>
        </w:rPr>
        <w:t>العد والحساب:</w:t>
      </w:r>
      <w:r w:rsidRPr="0023647B">
        <w:rPr>
          <w:b/>
          <w:bCs/>
          <w:sz w:val="20"/>
          <w:szCs w:val="20"/>
          <w:rtl/>
        </w:rPr>
        <w:t xml:space="preserve"> التركيز على فهم الأعداد والعمليات الحسابية؛ إضافة درس للأعداد الترتيبية في المستوى الأول؛ إدراج المستقيم العددي؛ تقديم الأعداد المكونة من ستة أرقام ابتداء من المستوى الثالث؛ تقديم الكسور ابتداء من المستوى الثاني واعتماد الكسور المختلطة من المستوى الرابع؛ إدراج المعدل الحسابي ومدخل للاحتمالات في المستوى السادس. وفي الحساب: تقريب مفهومي الضرب والقسمة بالجمع المتكرر والتوزيع المتساوي منذ المستوى الأول؛ التركيز على العمليات الأفقية قبل التقنيات العمودية؛ تأخير التقنية الاعتيادية للضرب إلى المستوى الثالث وللقسمة إلى المستوى الرابع؛ دروس أولوية العمليات والأقواس ابتداء من المستوى الخامس؛ إدراج الكثافة والكثافة السكانية ضمن التناسبية.</w:t>
      </w:r>
    </w:p>
    <w:p w14:paraId="1E0A6E09" w14:textId="77777777" w:rsidR="0023647B" w:rsidRPr="0023647B" w:rsidRDefault="0023647B" w:rsidP="0023647B">
      <w:pPr>
        <w:pStyle w:val="Paragraphedeliste"/>
        <w:numPr>
          <w:ilvl w:val="0"/>
          <w:numId w:val="13"/>
        </w:numPr>
        <w:bidi/>
        <w:spacing w:after="0"/>
        <w:rPr>
          <w:b/>
          <w:bCs/>
          <w:sz w:val="20"/>
          <w:szCs w:val="20"/>
        </w:rPr>
      </w:pPr>
      <w:r w:rsidRPr="0023647B">
        <w:rPr>
          <w:b/>
          <w:bCs/>
          <w:sz w:val="20"/>
          <w:szCs w:val="20"/>
          <w:shd w:val="clear" w:color="auto" w:fill="FFFF00"/>
          <w:rtl/>
        </w:rPr>
        <w:t>الهندسة والقياس:</w:t>
      </w:r>
      <w:r w:rsidRPr="0023647B">
        <w:rPr>
          <w:b/>
          <w:bCs/>
          <w:sz w:val="20"/>
          <w:szCs w:val="20"/>
          <w:rtl/>
        </w:rPr>
        <w:t xml:space="preserve"> دمج المجالين في مجال واحد؛ إدراج دروس خاصة باستعمال الأدوات الهندسية؛ تأخير درسي الإزاحة ومنصف الزاوية إلى السلك الإعدادي.</w:t>
      </w:r>
    </w:p>
    <w:p w14:paraId="112C0DC3" w14:textId="77777777" w:rsidR="0023647B" w:rsidRPr="0023647B" w:rsidRDefault="0023647B" w:rsidP="0023647B">
      <w:pPr>
        <w:pStyle w:val="Paragraphedeliste"/>
        <w:numPr>
          <w:ilvl w:val="0"/>
          <w:numId w:val="13"/>
        </w:numPr>
        <w:bidi/>
        <w:spacing w:after="0"/>
        <w:rPr>
          <w:b/>
          <w:bCs/>
          <w:sz w:val="20"/>
          <w:szCs w:val="20"/>
        </w:rPr>
      </w:pPr>
      <w:r w:rsidRPr="0023647B">
        <w:rPr>
          <w:b/>
          <w:bCs/>
          <w:sz w:val="20"/>
          <w:szCs w:val="20"/>
          <w:shd w:val="clear" w:color="auto" w:fill="FFFF00"/>
          <w:rtl/>
        </w:rPr>
        <w:t>تنظيم ومعالجة البيانات:</w:t>
      </w:r>
      <w:r w:rsidRPr="0023647B">
        <w:rPr>
          <w:b/>
          <w:bCs/>
          <w:sz w:val="20"/>
          <w:szCs w:val="20"/>
          <w:rtl/>
        </w:rPr>
        <w:t xml:space="preserve"> إدراج </w:t>
      </w:r>
      <w:proofErr w:type="spellStart"/>
      <w:r w:rsidRPr="0023647B">
        <w:rPr>
          <w:b/>
          <w:bCs/>
          <w:sz w:val="20"/>
          <w:szCs w:val="20"/>
          <w:rtl/>
        </w:rPr>
        <w:t>المبيان</w:t>
      </w:r>
      <w:proofErr w:type="spellEnd"/>
      <w:r w:rsidRPr="0023647B">
        <w:rPr>
          <w:b/>
          <w:bCs/>
          <w:sz w:val="20"/>
          <w:szCs w:val="20"/>
          <w:rtl/>
        </w:rPr>
        <w:t xml:space="preserve"> </w:t>
      </w:r>
      <w:proofErr w:type="spellStart"/>
      <w:r w:rsidRPr="0023647B">
        <w:rPr>
          <w:b/>
          <w:bCs/>
          <w:sz w:val="20"/>
          <w:szCs w:val="20"/>
          <w:rtl/>
        </w:rPr>
        <w:t>الأيقوني</w:t>
      </w:r>
      <w:proofErr w:type="spellEnd"/>
      <w:r w:rsidRPr="0023647B">
        <w:rPr>
          <w:b/>
          <w:bCs/>
          <w:sz w:val="20"/>
          <w:szCs w:val="20"/>
          <w:rtl/>
        </w:rPr>
        <w:t xml:space="preserve"> في المستويات الدنيا </w:t>
      </w:r>
      <w:proofErr w:type="spellStart"/>
      <w:r w:rsidRPr="0023647B">
        <w:rPr>
          <w:b/>
          <w:bCs/>
          <w:sz w:val="20"/>
          <w:szCs w:val="20"/>
          <w:rtl/>
        </w:rPr>
        <w:t>والمبيان</w:t>
      </w:r>
      <w:proofErr w:type="spellEnd"/>
      <w:r w:rsidRPr="0023647B">
        <w:rPr>
          <w:b/>
          <w:bCs/>
          <w:sz w:val="20"/>
          <w:szCs w:val="20"/>
          <w:rtl/>
        </w:rPr>
        <w:t xml:space="preserve"> النقطي في المستوى السادس.</w:t>
      </w:r>
    </w:p>
    <w:p w14:paraId="6218B80C" w14:textId="77777777" w:rsidR="0023647B" w:rsidRPr="0023647B" w:rsidRDefault="0023647B" w:rsidP="0023647B">
      <w:pPr>
        <w:pStyle w:val="Paragraphedeliste"/>
        <w:numPr>
          <w:ilvl w:val="0"/>
          <w:numId w:val="13"/>
        </w:numPr>
        <w:bidi/>
        <w:spacing w:after="0"/>
        <w:rPr>
          <w:b/>
          <w:bCs/>
          <w:sz w:val="20"/>
          <w:szCs w:val="20"/>
        </w:rPr>
      </w:pPr>
      <w:r w:rsidRPr="0023647B">
        <w:rPr>
          <w:b/>
          <w:bCs/>
          <w:sz w:val="20"/>
          <w:szCs w:val="20"/>
          <w:shd w:val="clear" w:color="auto" w:fill="FFFF00"/>
          <w:rtl/>
        </w:rPr>
        <w:t>حل المسائل:</w:t>
      </w:r>
      <w:r w:rsidRPr="0023647B">
        <w:rPr>
          <w:b/>
          <w:bCs/>
          <w:sz w:val="20"/>
          <w:szCs w:val="20"/>
          <w:rtl/>
        </w:rPr>
        <w:t xml:space="preserve"> مجال مستقل يشتغل على تطبيق الأدوات والمهارات، وتعزيز الاستراتيجيات، وتعرف التمثيلات.</w:t>
      </w:r>
    </w:p>
    <w:p w14:paraId="695985C4" w14:textId="77777777" w:rsidR="0023647B" w:rsidRPr="0023647B" w:rsidRDefault="0023647B" w:rsidP="0023647B">
      <w:pPr>
        <w:pStyle w:val="Titre3"/>
        <w:bidi/>
        <w:spacing w:before="0"/>
        <w:rPr>
          <w:rFonts w:ascii="Calibri" w:hAnsi="Calibri" w:cs="Calibri"/>
          <w:color w:val="C0504D" w:themeColor="accent2"/>
          <w:u w:val="single"/>
        </w:rPr>
      </w:pPr>
      <w:r w:rsidRPr="0023647B">
        <w:rPr>
          <w:rFonts w:ascii="Calibri" w:hAnsi="Calibri" w:cs="Calibri"/>
          <w:color w:val="C0504D" w:themeColor="accent2"/>
          <w:u w:val="single"/>
        </w:rPr>
        <w:t>3.2. التأكد من تحقق أهداف التعلم</w:t>
      </w:r>
    </w:p>
    <w:p w14:paraId="2A6D8F24" w14:textId="77777777" w:rsidR="0023647B" w:rsidRPr="0023647B" w:rsidRDefault="0023647B" w:rsidP="0023647B">
      <w:pPr>
        <w:bidi/>
        <w:spacing w:after="0"/>
        <w:rPr>
          <w:rFonts w:ascii="Calibri" w:hAnsi="Calibri" w:cs="Calibri"/>
          <w:b/>
          <w:bCs/>
          <w:sz w:val="20"/>
          <w:szCs w:val="20"/>
        </w:rPr>
      </w:pPr>
      <w:r w:rsidRPr="0023647B">
        <w:rPr>
          <w:rFonts w:ascii="Calibri" w:hAnsi="Calibri" w:cs="Calibri"/>
          <w:b/>
          <w:bCs/>
          <w:sz w:val="20"/>
          <w:szCs w:val="20"/>
        </w:rPr>
        <w:t>تتمثل أدوات التقويم في روائز معيارية خاصة بكل مرحلة، وأطر مرجعية خاصة بكل مرحلة، ودلائل للتمرير والتصحيح، إضافة إلى دفتر كفايات الرياضيات. وتُبرمج أسابيع التقويم في خمس حصص: مراجعة وتمرير الرائز، ثم تصحيح الرائز مع وضعيات مركبة، ثم دعم المتعثرين مع وضعيات مركبة.</w:t>
      </w:r>
    </w:p>
    <w:p w14:paraId="481910E0" w14:textId="77777777" w:rsidR="0023647B" w:rsidRPr="0023647B" w:rsidRDefault="0023647B" w:rsidP="0023647B">
      <w:pPr>
        <w:bidi/>
        <w:spacing w:after="0"/>
        <w:rPr>
          <w:rFonts w:ascii="Calibri" w:hAnsi="Calibri" w:cs="Calibri"/>
          <w:b/>
          <w:bCs/>
          <w:sz w:val="20"/>
          <w:szCs w:val="20"/>
        </w:rPr>
      </w:pPr>
      <w:r w:rsidRPr="0023647B">
        <w:rPr>
          <w:rFonts w:ascii="Calibri" w:hAnsi="Calibri" w:cs="Calibri"/>
          <w:b/>
          <w:bCs/>
          <w:sz w:val="20"/>
          <w:szCs w:val="20"/>
        </w:rPr>
        <w:t>وتتحدد صيغ تمرير التقويم فيما يأتي: يمرر الرائز كتابيا في الأسبوع السادس من الوحدة؛ يتضمن عناصر تقويم مختلف الكفايات المبرمجة في الوحدة؛ مدته ساعة ونصف؛ تُقوَّم كل كفاية بشكل مستقل وتُنقَّط على 10؛ يمرر بشكل جماعي وموجه في المستويات الأول والثاني والثالث؛ يقرأ الأستاذ(ة) التعليمة دون تفصيل أو شرح، ويمنح المتعلمين الوقت اللازم كما هو موجه به في دليل التمرير؛ يجيب المتعلمون على أوراقهم الفردية؛ تُترك لمتعلمي المستويات العليا حرية تدبير التعامل مع الرائز.</w:t>
      </w:r>
    </w:p>
    <w:p w14:paraId="04A92F14" w14:textId="77777777" w:rsidR="0023647B" w:rsidRPr="0023647B" w:rsidRDefault="0023647B" w:rsidP="0023647B">
      <w:pPr>
        <w:pStyle w:val="Titre3"/>
        <w:bidi/>
        <w:spacing w:before="0"/>
        <w:rPr>
          <w:rFonts w:ascii="Calibri" w:hAnsi="Calibri" w:cs="Calibri"/>
          <w:color w:val="C0504D" w:themeColor="accent2"/>
          <w:u w:val="single"/>
        </w:rPr>
      </w:pPr>
      <w:r w:rsidRPr="0023647B">
        <w:rPr>
          <w:rFonts w:ascii="Calibri" w:hAnsi="Calibri" w:cs="Calibri"/>
          <w:color w:val="C0504D" w:themeColor="accent2"/>
          <w:u w:val="single"/>
        </w:rPr>
        <w:t>3.3. انتظام مضامين التعلم: المصفوفات</w:t>
      </w:r>
    </w:p>
    <w:p w14:paraId="697FD39A" w14:textId="77777777" w:rsidR="0023647B" w:rsidRPr="0023647B" w:rsidRDefault="0023647B" w:rsidP="0023647B">
      <w:pPr>
        <w:bidi/>
        <w:spacing w:after="0"/>
        <w:rPr>
          <w:rFonts w:ascii="Calibri" w:hAnsi="Calibri" w:cs="Calibri"/>
          <w:b/>
          <w:bCs/>
          <w:sz w:val="20"/>
          <w:szCs w:val="20"/>
        </w:rPr>
      </w:pPr>
      <w:r w:rsidRPr="0023647B">
        <w:rPr>
          <w:rFonts w:ascii="Calibri" w:hAnsi="Calibri" w:cs="Calibri"/>
          <w:b/>
          <w:bCs/>
          <w:sz w:val="20"/>
          <w:szCs w:val="20"/>
        </w:rPr>
        <w:t>جرى تحيين مصفوفات كفايات التعلم حسب المستويات الدراسية، انطلاقا من تدقيق مضامين التعلم وترتيب إدراج المفاهيم وفق منحى تصاعدي لولبي يضمن الرجوع المنتظم إلى الكفايات الأساس واستمرارية بناء المفاهيم عبر المستويات. وتشمل المصفوفات مصفوفات التتابع الخاصة بكل مستوى ومصفوفة المدى عبر المستويات الدراسية.</w:t>
      </w:r>
    </w:p>
    <w:p w14:paraId="67E5A3C5" w14:textId="77777777" w:rsidR="0023647B" w:rsidRPr="0023647B" w:rsidRDefault="0023647B" w:rsidP="0023647B">
      <w:pPr>
        <w:bidi/>
        <w:spacing w:after="0"/>
        <w:rPr>
          <w:rFonts w:ascii="Calibri" w:hAnsi="Calibri" w:cs="Calibri"/>
          <w:b/>
          <w:bCs/>
          <w:sz w:val="20"/>
          <w:szCs w:val="20"/>
        </w:rPr>
      </w:pPr>
      <w:r w:rsidRPr="0023647B">
        <w:rPr>
          <w:rFonts w:ascii="Calibri" w:hAnsi="Calibri" w:cs="Calibri"/>
          <w:b/>
          <w:bCs/>
          <w:sz w:val="20"/>
          <w:szCs w:val="20"/>
        </w:rPr>
        <w:t>وعُرضت كذلك كراسات جديدة للرياضيات وكراسات للحساب الذهني، إلى جانب دفتر للبحث والإنجاز المنزلي ودفتر للقسم يُستثمر خلال الحصة الخامسة من كل أسبوع.</w:t>
      </w:r>
    </w:p>
    <w:p w14:paraId="6FC89AD3" w14:textId="77777777" w:rsidR="0023647B" w:rsidRPr="0023647B" w:rsidRDefault="0023647B" w:rsidP="0023647B">
      <w:pPr>
        <w:bidi/>
        <w:rPr>
          <w:rFonts w:ascii="Calibri" w:hAnsi="Calibri" w:cs="Calibri"/>
          <w:b/>
          <w:bCs/>
          <w:sz w:val="20"/>
          <w:szCs w:val="20"/>
        </w:rPr>
      </w:pPr>
      <w:r w:rsidRPr="0023647B">
        <w:rPr>
          <w:rFonts w:ascii="Calibri" w:hAnsi="Calibri" w:cs="Calibri"/>
          <w:b/>
          <w:bCs/>
          <w:sz w:val="20"/>
          <w:szCs w:val="20"/>
        </w:rPr>
        <w:t>ويتكون البرنامج السنوي من خمس وحدات، مدة كل وحدة ستة أسابيع: خمسة أسابيع لإرساء الموارد وتقديم الدروس، وأسبوع سادس للتوليف والمراجعة يُمرَّر في نهايته رائز الوحدة وتُعبأ ملفات الكفايات. ويتألف الأسبوع التربوي لإرساء الموارد من خمس حصص: ثلاث حصص لإرساء الموارد (يُتناول في كل أسبوع مجال واحد من مجالات العد والحساب أو الهندسة والقياس أو تنظيم البيانات)، وحصة خاصة بحل المسائل تقدم فيها استراتيجيات بنماذج مختلفة (نموذج الأشرطة، الأسئلة الأربعة...)، وحصة لمراجعة دروس الأسبوع.</w:t>
      </w:r>
    </w:p>
    <w:p w14:paraId="7DE87DD2" w14:textId="77777777" w:rsidR="0023647B" w:rsidRPr="0023647B" w:rsidRDefault="0023647B" w:rsidP="0023647B">
      <w:pPr>
        <w:pStyle w:val="Titre3"/>
        <w:bidi/>
        <w:spacing w:before="0"/>
        <w:rPr>
          <w:rFonts w:ascii="Calibri" w:hAnsi="Calibri" w:cs="Calibri"/>
          <w:color w:val="C0504D" w:themeColor="accent2"/>
          <w:u w:val="single"/>
        </w:rPr>
      </w:pPr>
      <w:r w:rsidRPr="0023647B">
        <w:rPr>
          <w:rFonts w:ascii="Calibri" w:hAnsi="Calibri" w:cs="Calibri"/>
          <w:color w:val="C0504D" w:themeColor="accent2"/>
          <w:u w:val="single"/>
        </w:rPr>
        <w:t>3.4. هيكلة حصص التعلم ونموذج درس</w:t>
      </w:r>
    </w:p>
    <w:p w14:paraId="5B2FD427" w14:textId="77777777" w:rsidR="0023647B" w:rsidRPr="0023647B" w:rsidRDefault="0023647B" w:rsidP="0023647B">
      <w:pPr>
        <w:bidi/>
        <w:spacing w:after="0"/>
        <w:rPr>
          <w:rFonts w:ascii="Calibri" w:hAnsi="Calibri" w:cs="Calibri"/>
          <w:b/>
          <w:bCs/>
          <w:sz w:val="20"/>
          <w:szCs w:val="20"/>
        </w:rPr>
      </w:pPr>
      <w:r w:rsidRPr="0023647B">
        <w:rPr>
          <w:rFonts w:ascii="Calibri" w:hAnsi="Calibri" w:cs="Calibri"/>
          <w:b/>
          <w:bCs/>
          <w:sz w:val="20"/>
          <w:szCs w:val="20"/>
        </w:rPr>
        <w:t>تناولت الورشة بنية حصة الإرساء وحصة المراجعة في التعليم الصريح، ثم عُرض مقطع تعليمي من حصة رياضيات، مع التركيز على ما يأتي:</w:t>
      </w:r>
    </w:p>
    <w:p w14:paraId="54EAC78A" w14:textId="77777777" w:rsidR="0023647B" w:rsidRPr="0023647B" w:rsidRDefault="0023647B" w:rsidP="0023647B">
      <w:pPr>
        <w:pStyle w:val="Paragraphedeliste"/>
        <w:numPr>
          <w:ilvl w:val="0"/>
          <w:numId w:val="13"/>
        </w:numPr>
        <w:bidi/>
        <w:spacing w:after="0"/>
        <w:rPr>
          <w:b/>
          <w:bCs/>
          <w:sz w:val="20"/>
          <w:szCs w:val="20"/>
        </w:rPr>
      </w:pPr>
      <w:r w:rsidRPr="0023647B">
        <w:rPr>
          <w:b/>
          <w:bCs/>
          <w:sz w:val="20"/>
          <w:szCs w:val="20"/>
          <w:rtl/>
        </w:rPr>
        <w:t>فيديوهات النمذجة تخفف الحصص بتقليص عدد شرائح النمذجة واختصار زمنها، ويبقى الأستاذ(ة) مدعوا إلى التحقق من الفهم بعد الشريط، وإعادة النمذجة على السبورة أو إغنائها بشروح إضافية حسب الحاجة؛</w:t>
      </w:r>
    </w:p>
    <w:p w14:paraId="4DF5DE23" w14:textId="3361F6C0" w:rsidR="0023647B" w:rsidRPr="0023647B" w:rsidRDefault="0023647B" w:rsidP="0023647B">
      <w:pPr>
        <w:pStyle w:val="Paragraphedeliste"/>
        <w:numPr>
          <w:ilvl w:val="0"/>
          <w:numId w:val="13"/>
        </w:numPr>
        <w:bidi/>
        <w:spacing w:after="0"/>
        <w:rPr>
          <w:b/>
          <w:bCs/>
          <w:sz w:val="20"/>
          <w:szCs w:val="20"/>
        </w:rPr>
      </w:pPr>
      <w:r w:rsidRPr="0023647B">
        <w:rPr>
          <w:b/>
          <w:bCs/>
          <w:sz w:val="20"/>
          <w:szCs w:val="20"/>
          <w:rtl/>
        </w:rPr>
        <w:t>احترام المحطات الثلاث للممارسة الموجهة</w:t>
      </w:r>
      <w:r>
        <w:rPr>
          <w:rFonts w:hint="cs"/>
          <w:b/>
          <w:bCs/>
          <w:sz w:val="20"/>
          <w:szCs w:val="20"/>
          <w:rtl/>
        </w:rPr>
        <w:t>.</w:t>
      </w:r>
    </w:p>
    <w:p w14:paraId="6C57B8DB" w14:textId="77777777" w:rsidR="0023647B" w:rsidRDefault="0023647B" w:rsidP="0023647B">
      <w:pPr>
        <w:pStyle w:val="Paragraphedeliste"/>
        <w:numPr>
          <w:ilvl w:val="0"/>
          <w:numId w:val="13"/>
        </w:numPr>
        <w:bidi/>
        <w:spacing w:after="0"/>
        <w:rPr>
          <w:b/>
          <w:bCs/>
          <w:sz w:val="20"/>
          <w:szCs w:val="20"/>
        </w:rPr>
      </w:pPr>
      <w:r w:rsidRPr="0023647B">
        <w:rPr>
          <w:b/>
          <w:bCs/>
          <w:sz w:val="20"/>
          <w:szCs w:val="20"/>
          <w:rtl/>
        </w:rPr>
        <w:t>التحقق الدائم من الفهم وتقديم التغذية الراجعة.</w:t>
      </w:r>
    </w:p>
    <w:p w14:paraId="0BC77EB3" w14:textId="36211EB3" w:rsidR="009945A5" w:rsidRDefault="009945A5" w:rsidP="009945A5">
      <w:pPr>
        <w:pStyle w:val="Paragraphedeliste"/>
        <w:bidi/>
        <w:spacing w:after="0"/>
        <w:rPr>
          <w:b/>
          <w:bCs/>
          <w:sz w:val="20"/>
          <w:szCs w:val="20"/>
        </w:rPr>
      </w:pPr>
      <w:r>
        <w:rPr>
          <w:rFonts w:hint="cs"/>
          <w:b/>
          <w:bCs/>
          <w:sz w:val="20"/>
          <w:szCs w:val="20"/>
          <w:rtl/>
        </w:rPr>
        <w:t xml:space="preserve">وقد تم </w:t>
      </w:r>
      <w:r w:rsidRPr="009945A5">
        <w:rPr>
          <w:b/>
          <w:bCs/>
          <w:sz w:val="20"/>
          <w:szCs w:val="20"/>
          <w:rtl/>
        </w:rPr>
        <w:t xml:space="preserve">عرض بنية حصة الإرساء وحصة المراجعة، ثم مقطع من درس «استعمال </w:t>
      </w:r>
      <w:proofErr w:type="spellStart"/>
      <w:r w:rsidRPr="009945A5">
        <w:rPr>
          <w:b/>
          <w:bCs/>
          <w:sz w:val="20"/>
          <w:szCs w:val="20"/>
          <w:rtl/>
        </w:rPr>
        <w:t>البركار</w:t>
      </w:r>
      <w:proofErr w:type="spellEnd"/>
      <w:r w:rsidRPr="009945A5">
        <w:rPr>
          <w:b/>
          <w:bCs/>
          <w:sz w:val="20"/>
          <w:szCs w:val="20"/>
          <w:rtl/>
        </w:rPr>
        <w:t xml:space="preserve"> لإنشاء دائرة»</w:t>
      </w:r>
      <w:r>
        <w:rPr>
          <w:rFonts w:hint="cs"/>
          <w:b/>
          <w:bCs/>
          <w:sz w:val="20"/>
          <w:szCs w:val="20"/>
          <w:rtl/>
        </w:rPr>
        <w:t>.</w:t>
      </w:r>
    </w:p>
    <w:p w14:paraId="59BAEEAB" w14:textId="77777777" w:rsidR="0023647B" w:rsidRPr="0023647B" w:rsidRDefault="0023647B" w:rsidP="0023647B">
      <w:pPr>
        <w:pStyle w:val="Paragraphedeliste"/>
        <w:bidi/>
        <w:spacing w:after="0"/>
        <w:rPr>
          <w:b/>
          <w:bCs/>
          <w:sz w:val="20"/>
          <w:szCs w:val="20"/>
        </w:rPr>
      </w:pPr>
    </w:p>
    <w:p w14:paraId="24B6A815" w14:textId="77777777" w:rsidR="0023647B" w:rsidRPr="0023647B" w:rsidRDefault="0023647B" w:rsidP="0023647B">
      <w:pPr>
        <w:bidi/>
        <w:spacing w:after="0"/>
        <w:rPr>
          <w:rFonts w:ascii="Calibri" w:hAnsi="Calibri" w:cs="Calibri"/>
          <w:b/>
          <w:bCs/>
          <w:sz w:val="20"/>
          <w:szCs w:val="20"/>
        </w:rPr>
      </w:pPr>
      <w:r w:rsidRPr="0023647B">
        <w:rPr>
          <w:rFonts w:ascii="Calibri" w:hAnsi="Calibri" w:cs="Calibri"/>
          <w:b/>
          <w:bCs/>
          <w:sz w:val="20"/>
          <w:szCs w:val="20"/>
        </w:rPr>
        <w:t>وخُتمت الورشة بتكليف مجموعة المحور الأول بإعداد خطاطات ذهنية بأهم مبادئ التدريس الصريح وتطبيقاتها العملية في الممارسات الصفية، وتكليف مجموعة المحور الثاني بإعداد خطاطة ذهنية بأهم مستجدات تدريس الرياضيات وأخرى لتخطيط حصة الرياضيات.</w:t>
      </w:r>
    </w:p>
    <w:p w14:paraId="0E5AF650" w14:textId="77777777" w:rsidR="0023647B" w:rsidRPr="009945A5" w:rsidRDefault="0023647B" w:rsidP="0023647B">
      <w:pPr>
        <w:pStyle w:val="Titre2"/>
        <w:shd w:val="clear" w:color="auto" w:fill="FFFF00"/>
        <w:bidi/>
        <w:spacing w:before="0"/>
        <w:jc w:val="center"/>
        <w:rPr>
          <w:rFonts w:ascii="Calibri" w:hAnsi="Calibri" w:cs="Calibri"/>
          <w:u w:val="single"/>
        </w:rPr>
      </w:pPr>
      <w:r w:rsidRPr="009945A5">
        <w:rPr>
          <w:rFonts w:ascii="Calibri" w:hAnsi="Calibri" w:cs="Calibri"/>
          <w:u w:val="single"/>
        </w:rPr>
        <w:lastRenderedPageBreak/>
        <w:t>4. ورشة النشاط العلمي</w:t>
      </w:r>
    </w:p>
    <w:p w14:paraId="52A815E1" w14:textId="77777777" w:rsidR="0023647B" w:rsidRPr="0023647B" w:rsidRDefault="0023647B" w:rsidP="0023647B">
      <w:pPr>
        <w:pStyle w:val="Titre3"/>
        <w:bidi/>
        <w:spacing w:before="0"/>
        <w:rPr>
          <w:rFonts w:ascii="Calibri" w:hAnsi="Calibri" w:cs="Calibri"/>
          <w:color w:val="C0504D" w:themeColor="accent2"/>
          <w:u w:val="single"/>
        </w:rPr>
      </w:pPr>
      <w:r w:rsidRPr="0023647B">
        <w:rPr>
          <w:rFonts w:ascii="Calibri" w:hAnsi="Calibri" w:cs="Calibri"/>
          <w:color w:val="C0504D" w:themeColor="accent2"/>
          <w:u w:val="single"/>
        </w:rPr>
        <w:t>4.1. دواعي ومبادئ تحيين البرنامج الدراسي</w:t>
      </w:r>
    </w:p>
    <w:p w14:paraId="155C4922" w14:textId="77777777" w:rsidR="0023647B" w:rsidRPr="0023647B" w:rsidRDefault="0023647B" w:rsidP="0023647B">
      <w:pPr>
        <w:bidi/>
        <w:spacing w:after="0"/>
        <w:rPr>
          <w:rFonts w:ascii="Calibri" w:hAnsi="Calibri" w:cs="Calibri"/>
          <w:b/>
          <w:bCs/>
          <w:sz w:val="20"/>
          <w:szCs w:val="20"/>
        </w:rPr>
      </w:pPr>
      <w:r w:rsidRPr="0023647B">
        <w:rPr>
          <w:rFonts w:ascii="Calibri" w:hAnsi="Calibri" w:cs="Calibri"/>
          <w:b/>
          <w:bCs/>
          <w:sz w:val="20"/>
          <w:szCs w:val="20"/>
        </w:rPr>
        <w:t xml:space="preserve">انطلقت الورشة من مقدمة مفادها أن تدريس العلوم تجاوز تقديم الحقائق العلمية الجاهزة إلى بناء كفاية علمية مركبة تشمل المفاهيم وطرائق إنتاج المعرفة والقدرة على تفسير الظواهر واتخاذ المواقف. وأن المتعلم المبتدئ يمتلك معرفة قبلية محدودة وقدرات غير ناضجة في القراءة والقياس وضبط المتغيرات والتمثيل البياني، ويحتاج إلى محتوى منظم ولغة علمية مضبوطة ونمذجة صريحة للممارسات، مع فرص للتقصي. وانتهت إلى السؤال المركزي: كيف يمكن بناء نموذج </w:t>
      </w:r>
      <w:proofErr w:type="spellStart"/>
      <w:r w:rsidRPr="0023647B">
        <w:rPr>
          <w:rFonts w:ascii="Calibri" w:hAnsi="Calibri" w:cs="Calibri"/>
          <w:b/>
          <w:bCs/>
          <w:sz w:val="20"/>
          <w:szCs w:val="20"/>
        </w:rPr>
        <w:t>ديداكتيكي</w:t>
      </w:r>
      <w:proofErr w:type="spellEnd"/>
      <w:r w:rsidRPr="0023647B">
        <w:rPr>
          <w:rFonts w:ascii="Calibri" w:hAnsi="Calibri" w:cs="Calibri"/>
          <w:b/>
          <w:bCs/>
          <w:sz w:val="20"/>
          <w:szCs w:val="20"/>
        </w:rPr>
        <w:t xml:space="preserve"> لتدريس العلوم في التعليم الابتدائي يزاوج بين التدريس الصريح ونهج التقصي، بما يسهم في تجويد </w:t>
      </w:r>
      <w:proofErr w:type="spellStart"/>
      <w:r w:rsidRPr="0023647B">
        <w:rPr>
          <w:rFonts w:ascii="Calibri" w:hAnsi="Calibri" w:cs="Calibri"/>
          <w:b/>
          <w:bCs/>
          <w:sz w:val="20"/>
          <w:szCs w:val="20"/>
        </w:rPr>
        <w:t>تعلمات</w:t>
      </w:r>
      <w:proofErr w:type="spellEnd"/>
      <w:r w:rsidRPr="0023647B">
        <w:rPr>
          <w:rFonts w:ascii="Calibri" w:hAnsi="Calibri" w:cs="Calibri"/>
          <w:b/>
          <w:bCs/>
          <w:sz w:val="20"/>
          <w:szCs w:val="20"/>
        </w:rPr>
        <w:t xml:space="preserve"> درس العلوم؟</w:t>
      </w:r>
    </w:p>
    <w:p w14:paraId="106E6283" w14:textId="77777777" w:rsidR="0023647B" w:rsidRPr="0023647B" w:rsidRDefault="0023647B" w:rsidP="0023647B">
      <w:pPr>
        <w:bidi/>
        <w:spacing w:after="0"/>
        <w:rPr>
          <w:rFonts w:ascii="Calibri" w:hAnsi="Calibri" w:cs="Calibri"/>
          <w:b/>
          <w:bCs/>
          <w:sz w:val="20"/>
          <w:szCs w:val="20"/>
        </w:rPr>
      </w:pPr>
      <w:r w:rsidRPr="0023647B">
        <w:rPr>
          <w:rFonts w:ascii="Calibri" w:hAnsi="Calibri" w:cs="Calibri"/>
          <w:b/>
          <w:bCs/>
          <w:sz w:val="20"/>
          <w:szCs w:val="20"/>
        </w:rPr>
        <w:t>وتناول هذا المحور العناصر الآتية:</w:t>
      </w:r>
    </w:p>
    <w:p w14:paraId="75C6082A" w14:textId="77777777" w:rsidR="0023647B" w:rsidRPr="0023647B" w:rsidRDefault="0023647B" w:rsidP="0023647B">
      <w:pPr>
        <w:pStyle w:val="Paragraphedeliste"/>
        <w:numPr>
          <w:ilvl w:val="0"/>
          <w:numId w:val="13"/>
        </w:numPr>
        <w:bidi/>
        <w:spacing w:after="0"/>
        <w:rPr>
          <w:b/>
          <w:bCs/>
          <w:sz w:val="20"/>
          <w:szCs w:val="20"/>
        </w:rPr>
      </w:pPr>
      <w:r w:rsidRPr="0023647B">
        <w:rPr>
          <w:b/>
          <w:bCs/>
          <w:sz w:val="20"/>
          <w:szCs w:val="20"/>
          <w:rtl/>
        </w:rPr>
        <w:t>واقع التحصيل الدراسي: حصل المغرب في دورة 2023 من الدراسة الدولية TIMSS (علوم السنة الرابعة ابتدائي) على 390 نقطة مقابل 374 نقطة في دورة 2019، مع مقارنة بنتائج عينة من الأنظمة التعليمية المشاركة.</w:t>
      </w:r>
    </w:p>
    <w:p w14:paraId="49342586" w14:textId="77777777" w:rsidR="0023647B" w:rsidRPr="0023647B" w:rsidRDefault="0023647B" w:rsidP="0023647B">
      <w:pPr>
        <w:pStyle w:val="Paragraphedeliste"/>
        <w:numPr>
          <w:ilvl w:val="0"/>
          <w:numId w:val="13"/>
        </w:numPr>
        <w:bidi/>
        <w:spacing w:after="0"/>
        <w:rPr>
          <w:b/>
          <w:bCs/>
          <w:sz w:val="20"/>
          <w:szCs w:val="20"/>
        </w:rPr>
      </w:pPr>
      <w:r w:rsidRPr="0023647B">
        <w:rPr>
          <w:b/>
          <w:bCs/>
          <w:sz w:val="20"/>
          <w:szCs w:val="20"/>
          <w:rtl/>
        </w:rPr>
        <w:t>الممارسات العلمية في الإطار المرجعي TIMSS 2027: طرح الأسئلة وصياغة الفرضيات؛ تخطيط التقصي وإنتاج الأدلة؛ معالجة البيانات؛ الإجابة عن أسئلة البحث؛ تقديم الأدلة.</w:t>
      </w:r>
    </w:p>
    <w:p w14:paraId="70905FAA" w14:textId="77777777" w:rsidR="0023647B" w:rsidRPr="0023647B" w:rsidRDefault="0023647B" w:rsidP="0023647B">
      <w:pPr>
        <w:pStyle w:val="Paragraphedeliste"/>
        <w:numPr>
          <w:ilvl w:val="0"/>
          <w:numId w:val="13"/>
        </w:numPr>
        <w:bidi/>
        <w:spacing w:after="0"/>
        <w:rPr>
          <w:b/>
          <w:bCs/>
          <w:sz w:val="20"/>
          <w:szCs w:val="20"/>
        </w:rPr>
      </w:pPr>
      <w:r w:rsidRPr="0023647B">
        <w:rPr>
          <w:b/>
          <w:bCs/>
          <w:sz w:val="20"/>
          <w:szCs w:val="20"/>
          <w:rtl/>
        </w:rPr>
        <w:t xml:space="preserve">التكامل بين التدريس الصريح ومنهج التقصي: عرض لدراسات علمية حول أثر الدمج بينهما في تحسين </w:t>
      </w:r>
      <w:proofErr w:type="spellStart"/>
      <w:r w:rsidRPr="0023647B">
        <w:rPr>
          <w:b/>
          <w:bCs/>
          <w:sz w:val="20"/>
          <w:szCs w:val="20"/>
          <w:rtl/>
        </w:rPr>
        <w:t>التعلمات</w:t>
      </w:r>
      <w:proofErr w:type="spellEnd"/>
      <w:r w:rsidRPr="0023647B">
        <w:rPr>
          <w:b/>
          <w:bCs/>
          <w:sz w:val="20"/>
          <w:szCs w:val="20"/>
          <w:rtl/>
        </w:rPr>
        <w:t>، وتجارب دولية في اعتماد نماذج تزاوج بينهما: نموذج 5E بالولايات المتحدة (الانخراط، الاستكشاف، التفسير، التوسيع، التقويم)، والانتقال في أستراليا إلى نموذج «الانطلاق – التقصي – التطبيق»، ومنهاج العلوم الابتدائي بسنغافورة 2023 القائم على اتساق ثلاثي بين المفهوم والممارسة والقيمة.</w:t>
      </w:r>
    </w:p>
    <w:p w14:paraId="6DB302BA" w14:textId="77777777" w:rsidR="0023647B" w:rsidRPr="0023647B" w:rsidRDefault="0023647B" w:rsidP="0023647B">
      <w:pPr>
        <w:pStyle w:val="Paragraphedeliste"/>
        <w:numPr>
          <w:ilvl w:val="0"/>
          <w:numId w:val="13"/>
        </w:numPr>
        <w:bidi/>
        <w:spacing w:after="0"/>
        <w:rPr>
          <w:b/>
          <w:bCs/>
          <w:sz w:val="20"/>
          <w:szCs w:val="20"/>
        </w:rPr>
      </w:pPr>
      <w:r w:rsidRPr="0023647B">
        <w:rPr>
          <w:b/>
          <w:bCs/>
          <w:sz w:val="20"/>
          <w:szCs w:val="20"/>
          <w:rtl/>
        </w:rPr>
        <w:t xml:space="preserve">مبادئ التحيين الأحد عشر: الاستمرار في تنزيل المنهاج الدراسي للتعليم الابتدائي (منهاج 2021)؛ اعتماد التدريس الصريح في تقديم المعرفة العلمية؛ اعتبار نهج التقصي موضوعا للتدريس الصريح؛ تدريس الممارسات العلمية بشكل صريح (التساؤل، الافتراض، الاستنتاج، التحليل، الاستدلال...)؛ اعتماد المناولة والتجريب مدخلا لتدريس النشاط العلمي؛ التخفيف (تخفيف الحمولة المعرفية)؛ اعتماد الوحدات الدراسية (خمس وحدات لإرساء </w:t>
      </w:r>
      <w:proofErr w:type="spellStart"/>
      <w:r w:rsidRPr="0023647B">
        <w:rPr>
          <w:b/>
          <w:bCs/>
          <w:sz w:val="20"/>
          <w:szCs w:val="20"/>
          <w:rtl/>
        </w:rPr>
        <w:t>التعلمات</w:t>
      </w:r>
      <w:proofErr w:type="spellEnd"/>
      <w:r w:rsidRPr="0023647B">
        <w:rPr>
          <w:b/>
          <w:bCs/>
          <w:sz w:val="20"/>
          <w:szCs w:val="20"/>
          <w:rtl/>
        </w:rPr>
        <w:t xml:space="preserve"> الجديدة، مدة كل وحدة ستة أسابيع)؛ الرصف مع المنهاج الافتراضي لـ TIMSS؛ المجالات (علوم الحياة، العلوم الفيزيائية، علوم الأرض والفضاء)؛ التدرج والبناء اللولبي للمضامين؛ التهيئة اللغوية.</w:t>
      </w:r>
    </w:p>
    <w:p w14:paraId="077C9116" w14:textId="77777777" w:rsidR="0023647B" w:rsidRPr="0023647B" w:rsidRDefault="0023647B" w:rsidP="0023647B">
      <w:pPr>
        <w:pStyle w:val="Titre3"/>
        <w:bidi/>
        <w:spacing w:before="0"/>
        <w:rPr>
          <w:rFonts w:ascii="Calibri" w:hAnsi="Calibri" w:cs="Calibri"/>
          <w:color w:val="C0504D" w:themeColor="accent2"/>
          <w:u w:val="single"/>
        </w:rPr>
      </w:pPr>
      <w:r w:rsidRPr="0023647B">
        <w:rPr>
          <w:rFonts w:ascii="Calibri" w:hAnsi="Calibri" w:cs="Calibri"/>
          <w:color w:val="C0504D" w:themeColor="accent2"/>
          <w:u w:val="single"/>
        </w:rPr>
        <w:t>4.2. تدريس النشاط العلمي في مدارس الريادة</w:t>
      </w:r>
    </w:p>
    <w:p w14:paraId="50D6A1AD" w14:textId="77777777" w:rsidR="0023647B" w:rsidRPr="0023647B" w:rsidRDefault="0023647B" w:rsidP="0023647B">
      <w:pPr>
        <w:pStyle w:val="Paragraphedeliste"/>
        <w:numPr>
          <w:ilvl w:val="0"/>
          <w:numId w:val="13"/>
        </w:numPr>
        <w:bidi/>
        <w:rPr>
          <w:b/>
          <w:bCs/>
          <w:sz w:val="20"/>
          <w:szCs w:val="20"/>
        </w:rPr>
      </w:pPr>
      <w:r w:rsidRPr="0023647B">
        <w:rPr>
          <w:b/>
          <w:bCs/>
          <w:sz w:val="20"/>
          <w:szCs w:val="20"/>
          <w:shd w:val="clear" w:color="auto" w:fill="FFFF00"/>
          <w:rtl/>
        </w:rPr>
        <w:t>الأهداف:</w:t>
      </w:r>
      <w:r w:rsidRPr="0023647B">
        <w:rPr>
          <w:b/>
          <w:bCs/>
          <w:sz w:val="20"/>
          <w:szCs w:val="20"/>
          <w:rtl/>
        </w:rPr>
        <w:t xml:space="preserve"> تطوير التفكير النقدي؛ اكتساب ثقافة علمية؛ ممارسة المهارات العلمية وأساليب التفكير العلمي؛ التعبير عن الأفكار والبراهين والمناولات والتجارب بدقة وبأشكال متنوعة؛ تبني مواقف إيجابية وتطوير قيم الصدق والأمانة العلمية.</w:t>
      </w:r>
    </w:p>
    <w:p w14:paraId="55055BE3" w14:textId="77777777" w:rsidR="0023647B" w:rsidRPr="0023647B" w:rsidRDefault="0023647B" w:rsidP="0023647B">
      <w:pPr>
        <w:pStyle w:val="Paragraphedeliste"/>
        <w:numPr>
          <w:ilvl w:val="0"/>
          <w:numId w:val="13"/>
        </w:numPr>
        <w:bidi/>
        <w:rPr>
          <w:b/>
          <w:bCs/>
          <w:sz w:val="20"/>
          <w:szCs w:val="20"/>
        </w:rPr>
      </w:pPr>
      <w:r w:rsidRPr="0023647B">
        <w:rPr>
          <w:b/>
          <w:bCs/>
          <w:sz w:val="20"/>
          <w:szCs w:val="20"/>
          <w:shd w:val="clear" w:color="auto" w:fill="FFFF00"/>
          <w:rtl/>
        </w:rPr>
        <w:t>المكونات:</w:t>
      </w:r>
      <w:r w:rsidRPr="0023647B">
        <w:rPr>
          <w:b/>
          <w:bCs/>
          <w:sz w:val="20"/>
          <w:szCs w:val="20"/>
          <w:rtl/>
        </w:rPr>
        <w:t xml:space="preserve"> المضامين الأساسية، والممارسات العلمية، والقيم والمواقف.</w:t>
      </w:r>
    </w:p>
    <w:p w14:paraId="49A2FED6" w14:textId="77777777" w:rsidR="0023647B" w:rsidRPr="0023647B" w:rsidRDefault="0023647B" w:rsidP="0023647B">
      <w:pPr>
        <w:pStyle w:val="Paragraphedeliste"/>
        <w:numPr>
          <w:ilvl w:val="0"/>
          <w:numId w:val="13"/>
        </w:numPr>
        <w:bidi/>
        <w:rPr>
          <w:b/>
          <w:bCs/>
          <w:sz w:val="20"/>
          <w:szCs w:val="20"/>
        </w:rPr>
      </w:pPr>
      <w:r w:rsidRPr="0023647B">
        <w:rPr>
          <w:b/>
          <w:bCs/>
          <w:sz w:val="20"/>
          <w:szCs w:val="20"/>
          <w:rtl/>
        </w:rPr>
        <w:t>مصفوفات المدى والتتابع: مصفوفات المضامين في علوم الحياة، والعلوم الفيزيائية، وعلوم الأرض والفضاء عبر المستويات الستة؛ ومصفوفة الممارسات العلمية (التقصي، والتفسير العلمي، والتقويم)؛ ومصفوفة القيم والمواقف (الأمانة العلمية، الموضوعية، حب الاستطلاع، البحث عن الأسباب، التعاون، المبادرة).</w:t>
      </w:r>
    </w:p>
    <w:p w14:paraId="0D173CC0" w14:textId="77777777" w:rsidR="0023647B" w:rsidRPr="0023647B" w:rsidRDefault="0023647B" w:rsidP="0023647B">
      <w:pPr>
        <w:pStyle w:val="Paragraphedeliste"/>
        <w:numPr>
          <w:ilvl w:val="0"/>
          <w:numId w:val="13"/>
        </w:numPr>
        <w:bidi/>
        <w:rPr>
          <w:b/>
          <w:bCs/>
          <w:sz w:val="20"/>
          <w:szCs w:val="20"/>
        </w:rPr>
      </w:pPr>
      <w:r w:rsidRPr="009945A5">
        <w:rPr>
          <w:b/>
          <w:bCs/>
          <w:sz w:val="20"/>
          <w:szCs w:val="20"/>
          <w:shd w:val="clear" w:color="auto" w:fill="FFFF00"/>
          <w:rtl/>
        </w:rPr>
        <w:t>مبادئ تدريس النشاط العلمي</w:t>
      </w:r>
      <w:r w:rsidRPr="0023647B">
        <w:rPr>
          <w:b/>
          <w:bCs/>
          <w:sz w:val="20"/>
          <w:szCs w:val="20"/>
          <w:rtl/>
        </w:rPr>
        <w:t>: المفهوم والمهارة هدفان مندمجان؛ المعرفة السابقة شرط للممارسة العلمية؛ تعليم المهارات العلمية بشكل صريح؛ تعليم بعض المهارات الفكرية العليا (التوقع أو الإقرار أو التحليل أو التفسير)؛ تقديم الإسناد قبل التعثر المتوقع أو في الوقت المناسب ثم سحبه تدريجيا؛ تدرج تدريس المهارات من التعرف إلى البناء إلى التقويم؛ استخدام التقويم التكويني لتغيير مسار التدريس؛ تقييم نجاح الحصة بقدرة المتعلم على التفسير بالأدلة.</w:t>
      </w:r>
    </w:p>
    <w:p w14:paraId="4F823F88" w14:textId="77777777" w:rsidR="0023647B" w:rsidRPr="0023647B" w:rsidRDefault="0023647B" w:rsidP="0023647B">
      <w:pPr>
        <w:pStyle w:val="Paragraphedeliste"/>
        <w:numPr>
          <w:ilvl w:val="0"/>
          <w:numId w:val="13"/>
        </w:numPr>
        <w:bidi/>
        <w:rPr>
          <w:b/>
          <w:bCs/>
          <w:sz w:val="20"/>
          <w:szCs w:val="20"/>
        </w:rPr>
      </w:pPr>
      <w:r w:rsidRPr="009945A5">
        <w:rPr>
          <w:b/>
          <w:bCs/>
          <w:sz w:val="20"/>
          <w:szCs w:val="20"/>
          <w:shd w:val="clear" w:color="auto" w:fill="FFFF00"/>
          <w:rtl/>
        </w:rPr>
        <w:t>أبعاد المعرفة العلمية</w:t>
      </w:r>
      <w:r w:rsidRPr="0023647B">
        <w:rPr>
          <w:b/>
          <w:bCs/>
          <w:sz w:val="20"/>
          <w:szCs w:val="20"/>
          <w:rtl/>
        </w:rPr>
        <w:t>: تكامل المعرفة المفاهيمية (تفسير الظواهر)، والمعرفة الإجرائية (طرق الملاحظة والقياس والتجريب)، والمعرفة الإبستيمية (الغايات من المعرفة العلمية).</w:t>
      </w:r>
    </w:p>
    <w:p w14:paraId="52CC1D92" w14:textId="77777777" w:rsidR="0023647B" w:rsidRPr="0023647B" w:rsidRDefault="0023647B" w:rsidP="0023647B">
      <w:pPr>
        <w:pStyle w:val="Paragraphedeliste"/>
        <w:numPr>
          <w:ilvl w:val="0"/>
          <w:numId w:val="13"/>
        </w:numPr>
        <w:bidi/>
        <w:rPr>
          <w:b/>
          <w:bCs/>
          <w:sz w:val="20"/>
          <w:szCs w:val="20"/>
        </w:rPr>
      </w:pPr>
      <w:r w:rsidRPr="009945A5">
        <w:rPr>
          <w:b/>
          <w:bCs/>
          <w:sz w:val="20"/>
          <w:szCs w:val="20"/>
          <w:shd w:val="clear" w:color="auto" w:fill="FFFF00"/>
          <w:rtl/>
        </w:rPr>
        <w:t>التدرج في تقديم الممارسات العلمية:</w:t>
      </w:r>
      <w:r w:rsidRPr="0023647B">
        <w:rPr>
          <w:b/>
          <w:bCs/>
          <w:sz w:val="20"/>
          <w:szCs w:val="20"/>
          <w:rtl/>
        </w:rPr>
        <w:t xml:space="preserve"> التعرف (تقديم المهارة)، ثم الإنتاج (استعمال الممارسة)، ثم التقويم (الحكم على الممارسة عبر الاستدلال)، وكل ممارسة تقدم وفق مراحل التدريس الصريح.</w:t>
      </w:r>
    </w:p>
    <w:p w14:paraId="7B9749B8" w14:textId="77777777" w:rsidR="0023647B" w:rsidRPr="0023647B" w:rsidRDefault="0023647B" w:rsidP="0023647B">
      <w:pPr>
        <w:pStyle w:val="Paragraphedeliste"/>
        <w:numPr>
          <w:ilvl w:val="0"/>
          <w:numId w:val="13"/>
        </w:numPr>
        <w:bidi/>
        <w:rPr>
          <w:b/>
          <w:bCs/>
          <w:sz w:val="20"/>
          <w:szCs w:val="20"/>
        </w:rPr>
      </w:pPr>
      <w:r w:rsidRPr="009945A5">
        <w:rPr>
          <w:b/>
          <w:bCs/>
          <w:sz w:val="20"/>
          <w:szCs w:val="20"/>
          <w:shd w:val="clear" w:color="auto" w:fill="FFFF00"/>
          <w:rtl/>
        </w:rPr>
        <w:t>النقل التدريجي للمسؤولية:</w:t>
      </w:r>
      <w:r w:rsidRPr="0023647B">
        <w:rPr>
          <w:b/>
          <w:bCs/>
          <w:sz w:val="20"/>
          <w:szCs w:val="20"/>
          <w:rtl/>
        </w:rPr>
        <w:t xml:space="preserve"> «أنا أفعل» (الأستاذ ينمذج)، ثم «نحن نفعل» (ممارسة موجهة مشتركة)، ثم «أنت تفعل» (المتعلم يمارس باستقلال)، مع ما يرافق ذلك من انتقال المسؤولية من الأستاذ إلى المتعلم.</w:t>
      </w:r>
    </w:p>
    <w:p w14:paraId="75F41652" w14:textId="77777777" w:rsidR="0023647B" w:rsidRPr="0023647B" w:rsidRDefault="0023647B" w:rsidP="0023647B">
      <w:pPr>
        <w:pStyle w:val="Titre3"/>
        <w:bidi/>
        <w:spacing w:before="0"/>
        <w:rPr>
          <w:rFonts w:ascii="Calibri" w:hAnsi="Calibri" w:cs="Calibri"/>
          <w:color w:val="C0504D" w:themeColor="accent2"/>
          <w:u w:val="single"/>
        </w:rPr>
      </w:pPr>
      <w:r w:rsidRPr="0023647B">
        <w:rPr>
          <w:rFonts w:ascii="Calibri" w:hAnsi="Calibri" w:cs="Calibri"/>
          <w:color w:val="C0504D" w:themeColor="accent2"/>
          <w:u w:val="single"/>
        </w:rPr>
        <w:t>4.3. عدة تدريس النشاط العلمي بمدارس الريادة</w:t>
      </w:r>
    </w:p>
    <w:p w14:paraId="30093902" w14:textId="77777777" w:rsidR="0023647B" w:rsidRPr="0023647B" w:rsidRDefault="0023647B" w:rsidP="0023647B">
      <w:pPr>
        <w:pStyle w:val="Paragraphedeliste"/>
        <w:numPr>
          <w:ilvl w:val="0"/>
          <w:numId w:val="13"/>
        </w:numPr>
        <w:bidi/>
        <w:spacing w:after="0"/>
        <w:rPr>
          <w:b/>
          <w:bCs/>
          <w:sz w:val="20"/>
          <w:szCs w:val="20"/>
        </w:rPr>
      </w:pPr>
      <w:r w:rsidRPr="009945A5">
        <w:rPr>
          <w:b/>
          <w:bCs/>
          <w:sz w:val="20"/>
          <w:szCs w:val="20"/>
          <w:shd w:val="clear" w:color="auto" w:fill="FFFF00"/>
          <w:rtl/>
        </w:rPr>
        <w:t>أهداف العدة:</w:t>
      </w:r>
      <w:r w:rsidRPr="0023647B">
        <w:rPr>
          <w:b/>
          <w:bCs/>
          <w:sz w:val="20"/>
          <w:szCs w:val="20"/>
          <w:rtl/>
        </w:rPr>
        <w:t xml:space="preserve"> إدماج التقويم التكويني داخل سيرورة التعلم؛ تجويد تخطيط درس النشاط العلمي دون إلغاء المبادرة المهنية للأستاذ؛ استثمار نتائج الممارسة المستقلة لتحديد نسبة التحكم وبناء قرارات الدعم والإغناء؛ توضيح ما ينبغي أن يتعلمه المتعلم وما ينبغي أن ينجزه أو يبرهن عليه في نهاية الدرس؛ ضمان الاتساق بين البرنامج المحين ومصفوفات المدى والتتابع والدرس اليومي وأدوات التقويم؛ تنظيم الانتقال من النمذجة والإسناد إلى الممارسة الموجهة ثم الممارسة المستقلة؛ توفير بيئة مناولات وتجارب وملاحظة ملائمة لسن المتعلمين.</w:t>
      </w:r>
    </w:p>
    <w:p w14:paraId="6CDCC6E2" w14:textId="77777777" w:rsidR="0023647B" w:rsidRPr="0023647B" w:rsidRDefault="0023647B" w:rsidP="0023647B">
      <w:pPr>
        <w:pStyle w:val="Paragraphedeliste"/>
        <w:numPr>
          <w:ilvl w:val="0"/>
          <w:numId w:val="13"/>
        </w:numPr>
        <w:bidi/>
        <w:spacing w:after="0"/>
        <w:rPr>
          <w:b/>
          <w:bCs/>
          <w:sz w:val="20"/>
          <w:szCs w:val="20"/>
        </w:rPr>
      </w:pPr>
      <w:r w:rsidRPr="009945A5">
        <w:rPr>
          <w:b/>
          <w:bCs/>
          <w:sz w:val="20"/>
          <w:szCs w:val="20"/>
          <w:shd w:val="clear" w:color="auto" w:fill="FFFF00"/>
          <w:rtl/>
        </w:rPr>
        <w:t>مكونات العدة:</w:t>
      </w:r>
      <w:r w:rsidRPr="0023647B">
        <w:rPr>
          <w:b/>
          <w:bCs/>
          <w:sz w:val="20"/>
          <w:szCs w:val="20"/>
          <w:rtl/>
        </w:rPr>
        <w:t xml:space="preserve"> كراسة المتعلم؛ البرنامج حسب المستويات؛ وسائل التجريب والمناولة؛ مصفوفات المدى والتتابع؛ أدوات التقويم والتتبع (تمارين الممارسة المستقلة، نسب التحكم، بطاقات الدعم والتفييء)؛ البرمجة السنوية والوحداتية والأسبوعية؛ موارد الدعم والإغناء؛ الدرس الرقمي.</w:t>
      </w:r>
    </w:p>
    <w:p w14:paraId="6CC6BF0A" w14:textId="77777777" w:rsidR="0023647B" w:rsidRPr="0023647B" w:rsidRDefault="0023647B" w:rsidP="0023647B">
      <w:pPr>
        <w:pStyle w:val="Paragraphedeliste"/>
        <w:numPr>
          <w:ilvl w:val="0"/>
          <w:numId w:val="13"/>
        </w:numPr>
        <w:bidi/>
        <w:spacing w:after="0"/>
        <w:rPr>
          <w:b/>
          <w:bCs/>
          <w:sz w:val="20"/>
          <w:szCs w:val="20"/>
        </w:rPr>
      </w:pPr>
      <w:r w:rsidRPr="009945A5">
        <w:rPr>
          <w:b/>
          <w:bCs/>
          <w:sz w:val="20"/>
          <w:szCs w:val="20"/>
          <w:shd w:val="clear" w:color="auto" w:fill="FFFF00"/>
          <w:rtl/>
        </w:rPr>
        <w:t>مبادئ بناء المصفوفات:</w:t>
      </w:r>
      <w:r w:rsidRPr="0023647B">
        <w:rPr>
          <w:b/>
          <w:bCs/>
          <w:sz w:val="20"/>
          <w:szCs w:val="20"/>
          <w:rtl/>
        </w:rPr>
        <w:t xml:space="preserve"> التدرج من البسيط إلى المركب؛ التدرج من المحسوس إلى المجرد؛ التراكم؛ الاستمرارية؛ الملاءمة النمائية؛ التكامل.</w:t>
      </w:r>
    </w:p>
    <w:p w14:paraId="1F9BD50D" w14:textId="77777777" w:rsidR="0023647B" w:rsidRPr="0023647B" w:rsidRDefault="0023647B" w:rsidP="0023647B">
      <w:pPr>
        <w:pStyle w:val="Paragraphedeliste"/>
        <w:numPr>
          <w:ilvl w:val="0"/>
          <w:numId w:val="13"/>
        </w:numPr>
        <w:bidi/>
        <w:spacing w:after="0"/>
        <w:rPr>
          <w:b/>
          <w:bCs/>
          <w:sz w:val="20"/>
          <w:szCs w:val="20"/>
        </w:rPr>
      </w:pPr>
      <w:r w:rsidRPr="009945A5">
        <w:rPr>
          <w:b/>
          <w:bCs/>
          <w:sz w:val="20"/>
          <w:szCs w:val="20"/>
          <w:shd w:val="clear" w:color="auto" w:fill="FFFF00"/>
          <w:rtl/>
        </w:rPr>
        <w:t>هيكلة الدرس</w:t>
      </w:r>
      <w:r w:rsidRPr="0023647B">
        <w:rPr>
          <w:b/>
          <w:bCs/>
          <w:sz w:val="20"/>
          <w:szCs w:val="20"/>
          <w:rtl/>
        </w:rPr>
        <w:t xml:space="preserve"> (حصة من نحو 60 دقيقة): افتتاح الدرس (نحو 15 دقيقة): تصحيح الأنشطة المنزلية، ونشاط تمهيدي، والتصريح بالهدف ومعيار النجاح، وتقديم المهارة العلمية والمصطلحات؛ النشاط الرئيسي (نحو 20 دقيقة): نمذجة الأستاذ والتفكير بصوت مسموع وتقديم خطوات المناولة، ثم ممارسة موجهة مع أسئلة وتغذية راجعة؛ التدرب والإغناء (نحو 20 دقيقة): ممارسة مستقلة للتحقق من التحكم، وتصحيح، ثم أنشطة إغناء أو دعم بحسب الأداء؛ اختتام الدرس (نحو 5 دقائق): تلخيص التعلم في خريطة ذهنية أو قاعدة، وسؤال ختامي، وتوجيه العمل اللاحق، وتسجيل نسبة التحكم.</w:t>
      </w:r>
    </w:p>
    <w:p w14:paraId="38491549" w14:textId="77777777" w:rsidR="0023647B" w:rsidRPr="0023647B" w:rsidRDefault="0023647B" w:rsidP="0023647B">
      <w:pPr>
        <w:pStyle w:val="Paragraphedeliste"/>
        <w:numPr>
          <w:ilvl w:val="0"/>
          <w:numId w:val="13"/>
        </w:numPr>
        <w:bidi/>
        <w:spacing w:after="0"/>
        <w:rPr>
          <w:b/>
          <w:bCs/>
          <w:sz w:val="20"/>
          <w:szCs w:val="20"/>
        </w:rPr>
      </w:pPr>
      <w:r w:rsidRPr="009945A5">
        <w:rPr>
          <w:b/>
          <w:bCs/>
          <w:sz w:val="20"/>
          <w:szCs w:val="20"/>
          <w:shd w:val="clear" w:color="auto" w:fill="FFFF00"/>
          <w:rtl/>
        </w:rPr>
        <w:t>التقويم:</w:t>
      </w:r>
      <w:r w:rsidRPr="0023647B">
        <w:rPr>
          <w:b/>
          <w:bCs/>
          <w:sz w:val="20"/>
          <w:szCs w:val="20"/>
          <w:rtl/>
        </w:rPr>
        <w:t xml:space="preserve"> تقويم تكويني أثناء الحصة، وتقويم مرحلي في الأسبوع السادس من الوحدة؛ ومجالاته: المعرفة والتطبيق والاستدلال.</w:t>
      </w:r>
    </w:p>
    <w:p w14:paraId="66C268E2" w14:textId="77777777" w:rsidR="0023647B" w:rsidRPr="0023647B" w:rsidRDefault="0023647B" w:rsidP="0023647B">
      <w:pPr>
        <w:pStyle w:val="Paragraphedeliste"/>
        <w:numPr>
          <w:ilvl w:val="0"/>
          <w:numId w:val="13"/>
        </w:numPr>
        <w:bidi/>
        <w:spacing w:after="0"/>
        <w:rPr>
          <w:b/>
          <w:bCs/>
          <w:sz w:val="20"/>
          <w:szCs w:val="20"/>
        </w:rPr>
      </w:pPr>
      <w:r w:rsidRPr="009945A5">
        <w:rPr>
          <w:b/>
          <w:bCs/>
          <w:sz w:val="20"/>
          <w:szCs w:val="20"/>
          <w:shd w:val="clear" w:color="auto" w:fill="FFFF00"/>
          <w:rtl/>
        </w:rPr>
        <w:t>التدبير الزمني لحصص النشاط العلمي</w:t>
      </w:r>
      <w:r w:rsidRPr="0023647B">
        <w:rPr>
          <w:b/>
          <w:bCs/>
          <w:sz w:val="20"/>
          <w:szCs w:val="20"/>
          <w:rtl/>
        </w:rPr>
        <w:t>: تُخصص حصتان أسبوعيا للنشاط العلمي: الأولى (40 دقيقة) في اليوم الخامس بعد الحصة الخامسة من الرياضيات (30 دقيقة)، والثانية (60 دقيقة) في اليوم السادس.</w:t>
      </w:r>
    </w:p>
    <w:p w14:paraId="4B3E9E5C" w14:textId="77777777" w:rsidR="0023647B" w:rsidRPr="009945A5" w:rsidRDefault="0023647B" w:rsidP="0023647B">
      <w:pPr>
        <w:pStyle w:val="Titre2"/>
        <w:shd w:val="clear" w:color="auto" w:fill="FFFF00"/>
        <w:bidi/>
        <w:spacing w:before="0"/>
        <w:jc w:val="center"/>
        <w:rPr>
          <w:rFonts w:ascii="Calibri" w:hAnsi="Calibri" w:cs="Calibri"/>
        </w:rPr>
      </w:pPr>
      <w:r w:rsidRPr="009945A5">
        <w:rPr>
          <w:rFonts w:ascii="Calibri" w:hAnsi="Calibri" w:cs="Calibri"/>
        </w:rPr>
        <w:lastRenderedPageBreak/>
        <w:t>5. خاتمة</w:t>
      </w:r>
    </w:p>
    <w:p w14:paraId="3CD3495B" w14:textId="77777777" w:rsidR="009945A5" w:rsidRDefault="009945A5" w:rsidP="009945A5">
      <w:pPr>
        <w:pStyle w:val="Corpsdetexte"/>
        <w:bidi/>
        <w:spacing w:before="0"/>
        <w:rPr>
          <w:rFonts w:ascii="Calibri" w:hAnsi="Calibri" w:cs="Calibri"/>
          <w:b/>
          <w:bCs/>
          <w:sz w:val="20"/>
          <w:szCs w:val="20"/>
          <w:lang w:val="fr-FR"/>
        </w:rPr>
      </w:pPr>
    </w:p>
    <w:p w14:paraId="455FA9A8" w14:textId="77777777" w:rsidR="009945A5" w:rsidRPr="0023647B" w:rsidRDefault="009945A5" w:rsidP="009945A5">
      <w:pPr>
        <w:pStyle w:val="Corpsdetexte"/>
        <w:jc w:val="right"/>
        <w:rPr>
          <w:rFonts w:ascii="Calibri" w:hAnsi="Calibri" w:cs="Calibri"/>
          <w:b/>
          <w:bCs/>
          <w:sz w:val="20"/>
          <w:szCs w:val="20"/>
          <w:rtl w:val="0"/>
          <w:lang w:val="fr-FR" w:bidi="ar-EG"/>
        </w:rPr>
      </w:pPr>
      <w:r w:rsidRPr="009945A5">
        <w:rPr>
          <w:rFonts w:ascii="Calibri" w:hAnsi="Calibri" w:cs="Calibri"/>
          <w:b/>
          <w:bCs/>
          <w:sz w:val="20"/>
          <w:szCs w:val="20"/>
          <w:lang w:val="fr-FR"/>
        </w:rPr>
        <w:t xml:space="preserve">يتبين من ورشتي اليوم الثاني أن التعليم الصريح يُقدَّم بوصفه منهجية متكاملة للتخطيط والتنفيذ والتقويم، لا مجرد تقنية للتدريس: فهو يضبط بنية الحصة وزمنها، ويجعل النمذجة والممارسة الموجهة والمستقلة والتغذية الراجعة حلقات مترابطة، ويربط التقويم التكويني بقرارات الدعم والإغناء، ويستند إلى مصفوفات المدى والتتابع التي تضمن التدرج اللولبي </w:t>
      </w:r>
      <w:proofErr w:type="spellStart"/>
      <w:r w:rsidRPr="009945A5">
        <w:rPr>
          <w:rFonts w:ascii="Calibri" w:hAnsi="Calibri" w:cs="Calibri"/>
          <w:b/>
          <w:bCs/>
          <w:sz w:val="20"/>
          <w:szCs w:val="20"/>
          <w:lang w:val="fr-FR"/>
        </w:rPr>
        <w:t>للتعلمات</w:t>
      </w:r>
      <w:proofErr w:type="spellEnd"/>
      <w:r w:rsidRPr="009945A5">
        <w:rPr>
          <w:rFonts w:ascii="Calibri" w:hAnsi="Calibri" w:cs="Calibri"/>
          <w:b/>
          <w:bCs/>
          <w:sz w:val="20"/>
          <w:szCs w:val="20"/>
          <w:lang w:val="fr-FR"/>
        </w:rPr>
        <w:t>. وفي النشاط العلمي يُنظر إلى التقصي نفسه موضوعا للتعليم الصريح، في حين تتجسد في الرياضيات مراحل الحصة تجسيدا إجرائيا عبر نموذج درس مفصل</w:t>
      </w:r>
      <w:r>
        <w:rPr>
          <w:rFonts w:ascii="Calibri" w:hAnsi="Calibri" w:cs="Calibri" w:hint="cs"/>
          <w:b/>
          <w:bCs/>
          <w:sz w:val="20"/>
          <w:szCs w:val="20"/>
          <w:lang w:val="fr-FR" w:bidi="ar-EG"/>
        </w:rPr>
        <w:t xml:space="preserve"> </w:t>
      </w:r>
      <w:r w:rsidRPr="009945A5">
        <w:rPr>
          <w:rFonts w:ascii="Calibri" w:hAnsi="Calibri" w:cs="Calibri"/>
          <w:b/>
          <w:bCs/>
          <w:sz w:val="20"/>
          <w:szCs w:val="20"/>
          <w:lang w:val="fr-FR"/>
        </w:rPr>
        <w:t>ويبقى استثمار هذه المضامين رهينا بتجريبها في الأقسام وبتتبع أثرها</w:t>
      </w:r>
      <w:r>
        <w:rPr>
          <w:rFonts w:ascii="Calibri" w:hAnsi="Calibri" w:cs="Calibri" w:hint="cs"/>
          <w:b/>
          <w:bCs/>
          <w:sz w:val="20"/>
          <w:szCs w:val="20"/>
          <w:lang w:val="fr-FR"/>
        </w:rPr>
        <w:t>.</w:t>
      </w:r>
    </w:p>
    <w:tbl>
      <w:tblPr>
        <w:tblStyle w:val="Grilledutableau"/>
        <w:tblpPr w:leftFromText="180" w:rightFromText="180" w:vertAnchor="text" w:horzAnchor="margin" w:tblpY="11147"/>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823"/>
      </w:tblGrid>
      <w:tr w:rsidR="009945A5" w14:paraId="75A8F1C3" w14:textId="77777777" w:rsidTr="009945A5">
        <w:tc>
          <w:tcPr>
            <w:tcW w:w="3823" w:type="dxa"/>
          </w:tcPr>
          <w:p w14:paraId="3A3A9D15" w14:textId="77777777" w:rsidR="009945A5" w:rsidRPr="009945A5" w:rsidRDefault="009945A5" w:rsidP="009945A5">
            <w:pPr>
              <w:pStyle w:val="Corpsdetexte"/>
              <w:bidi/>
              <w:rPr>
                <w:rFonts w:ascii="Calibri" w:hAnsi="Calibri" w:cs="Calibri" w:hint="cs"/>
                <w:b/>
                <w:bCs/>
                <w:sz w:val="22"/>
                <w:szCs w:val="22"/>
                <w:lang w:val="fr-FR" w:bidi="ar-EG"/>
              </w:rPr>
            </w:pPr>
            <w:r w:rsidRPr="009945A5">
              <w:rPr>
                <w:rFonts w:ascii="Calibri" w:hAnsi="Calibri" w:cs="Calibri" w:hint="cs"/>
                <w:b/>
                <w:bCs/>
                <w:sz w:val="22"/>
                <w:szCs w:val="22"/>
                <w:lang w:val="fr-FR" w:bidi="ar-EG"/>
              </w:rPr>
              <w:t>الأستاذ</w:t>
            </w:r>
            <w:r w:rsidRPr="009945A5">
              <w:rPr>
                <w:rFonts w:ascii="Calibri" w:hAnsi="Calibri" w:cs="Calibri"/>
                <w:b/>
                <w:bCs/>
                <w:sz w:val="22"/>
                <w:szCs w:val="22"/>
                <w:rtl w:val="0"/>
                <w:lang w:val="fr-FR" w:bidi="ar-EG"/>
              </w:rPr>
              <w:t>:</w:t>
            </w:r>
          </w:p>
        </w:tc>
      </w:tr>
    </w:tbl>
    <w:p w14:paraId="1630DB0D" w14:textId="44D1F2E2" w:rsidR="009945A5" w:rsidRPr="0023647B" w:rsidRDefault="009945A5" w:rsidP="009945A5">
      <w:pPr>
        <w:pStyle w:val="Corpsdetexte"/>
        <w:jc w:val="right"/>
        <w:rPr>
          <w:rFonts w:ascii="Calibri" w:hAnsi="Calibri" w:cs="Calibri"/>
          <w:b/>
          <w:bCs/>
          <w:sz w:val="20"/>
          <w:szCs w:val="20"/>
          <w:rtl w:val="0"/>
          <w:lang w:val="fr-FR" w:bidi="ar-EG"/>
        </w:rPr>
      </w:pPr>
    </w:p>
    <w:sectPr w:rsidR="009945A5" w:rsidRPr="0023647B" w:rsidSect="009945A5">
      <w:headerReference w:type="default" r:id="rId8"/>
      <w:pgSz w:w="12240" w:h="15840"/>
      <w:pgMar w:top="0" w:right="1247" w:bottom="142" w:left="1247" w:header="0" w:footer="0" w:gutter="0"/>
      <w:cols w:space="720"/>
      <w:docGrid w:linePitch="24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07D90CF" w14:textId="77777777" w:rsidR="00C8094A" w:rsidRDefault="00C8094A">
      <w:pPr>
        <w:spacing w:after="0"/>
      </w:pPr>
      <w:r>
        <w:separator/>
      </w:r>
    </w:p>
  </w:endnote>
  <w:endnote w:type="continuationSeparator" w:id="0">
    <w:p w14:paraId="7E6C78F0" w14:textId="77777777" w:rsidR="00C8094A" w:rsidRDefault="00C8094A">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A603149" w14:textId="77777777" w:rsidR="00C8094A" w:rsidRDefault="00C8094A">
      <w:r>
        <w:separator/>
      </w:r>
    </w:p>
  </w:footnote>
  <w:footnote w:type="continuationSeparator" w:id="0">
    <w:p w14:paraId="26C9EF94" w14:textId="77777777" w:rsidR="00C8094A" w:rsidRDefault="00C8094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EBBC99" w14:textId="77777777" w:rsidR="005757E3" w:rsidRPr="005757E3" w:rsidRDefault="005757E3">
    <w:pPr>
      <w:pStyle w:val="En-tte"/>
      <w:rPr>
        <w:lang w:val="fr-FR"/>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A990"/>
    <w:multiLevelType w:val="multilevel"/>
    <w:tmpl w:val="A4D06278"/>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1" w15:restartNumberingAfterBreak="0">
    <w:nsid w:val="0000A991"/>
    <w:multiLevelType w:val="multilevel"/>
    <w:tmpl w:val="1A0C7CC6"/>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2" w15:restartNumberingAfterBreak="0">
    <w:nsid w:val="00A99411"/>
    <w:multiLevelType w:val="multilevel"/>
    <w:tmpl w:val="CEC88E06"/>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abstractNum w:abstractNumId="3" w15:restartNumberingAfterBreak="0">
    <w:nsid w:val="04944DE9"/>
    <w:multiLevelType w:val="hybridMultilevel"/>
    <w:tmpl w:val="313AF69E"/>
    <w:lvl w:ilvl="0" w:tplc="BF3E48D0">
      <w:start w:val="1"/>
      <w:numFmt w:val="bullet"/>
      <w:lvlText w:val="•"/>
      <w:lvlJc w:val="left"/>
      <w:pPr>
        <w:ind w:left="720" w:hanging="360"/>
      </w:pPr>
    </w:lvl>
    <w:lvl w:ilvl="1" w:tplc="BEC4EDEA">
      <w:start w:val="1"/>
      <w:numFmt w:val="bullet"/>
      <w:lvlText w:val="o"/>
      <w:lvlJc w:val="left"/>
      <w:pPr>
        <w:ind w:left="1440" w:hanging="360"/>
      </w:pPr>
    </w:lvl>
    <w:lvl w:ilvl="2" w:tplc="D630AE40">
      <w:start w:val="1"/>
      <w:numFmt w:val="bullet"/>
      <w:lvlText w:val="▪"/>
      <w:lvlJc w:val="left"/>
      <w:pPr>
        <w:ind w:left="2160" w:hanging="360"/>
      </w:pPr>
    </w:lvl>
    <w:lvl w:ilvl="3" w:tplc="4DC02E30">
      <w:start w:val="1"/>
      <w:numFmt w:val="bullet"/>
      <w:lvlText w:val="•"/>
      <w:lvlJc w:val="left"/>
      <w:pPr>
        <w:ind w:left="2880" w:hanging="360"/>
      </w:pPr>
    </w:lvl>
    <w:lvl w:ilvl="4" w:tplc="7744D2E0">
      <w:start w:val="1"/>
      <w:numFmt w:val="bullet"/>
      <w:lvlText w:val="o"/>
      <w:lvlJc w:val="left"/>
      <w:pPr>
        <w:ind w:left="3600" w:hanging="360"/>
      </w:pPr>
    </w:lvl>
    <w:lvl w:ilvl="5" w:tplc="94180B7C">
      <w:start w:val="1"/>
      <w:numFmt w:val="bullet"/>
      <w:lvlText w:val="▪"/>
      <w:lvlJc w:val="left"/>
      <w:pPr>
        <w:ind w:left="4320" w:hanging="360"/>
      </w:pPr>
    </w:lvl>
    <w:lvl w:ilvl="6" w:tplc="158AAEFA">
      <w:start w:val="1"/>
      <w:numFmt w:val="bullet"/>
      <w:lvlText w:val="•"/>
      <w:lvlJc w:val="left"/>
      <w:pPr>
        <w:ind w:left="5040" w:hanging="360"/>
      </w:pPr>
    </w:lvl>
    <w:lvl w:ilvl="7" w:tplc="5B487202">
      <w:start w:val="1"/>
      <w:numFmt w:val="bullet"/>
      <w:lvlText w:val="o"/>
      <w:lvlJc w:val="left"/>
      <w:pPr>
        <w:ind w:left="5760" w:hanging="360"/>
      </w:pPr>
    </w:lvl>
    <w:lvl w:ilvl="8" w:tplc="4976BC4C">
      <w:start w:val="1"/>
      <w:numFmt w:val="bullet"/>
      <w:lvlText w:val="▪"/>
      <w:lvlJc w:val="left"/>
      <w:pPr>
        <w:ind w:left="6480" w:hanging="360"/>
      </w:pPr>
    </w:lvl>
  </w:abstractNum>
  <w:num w:numId="1" w16cid:durableId="1290939051">
    <w:abstractNumId w:val="0"/>
  </w:num>
  <w:num w:numId="2" w16cid:durableId="2070764578">
    <w:abstractNumId w:val="1"/>
  </w:num>
  <w:num w:numId="3" w16cid:durableId="473570033">
    <w:abstractNumId w:val="1"/>
  </w:num>
  <w:num w:numId="4" w16cid:durableId="1577783929">
    <w:abstractNumId w:val="1"/>
  </w:num>
  <w:num w:numId="5" w16cid:durableId="1261177975">
    <w:abstractNumId w:val="1"/>
  </w:num>
  <w:num w:numId="6" w16cid:durableId="206525639">
    <w:abstractNumId w:val="1"/>
  </w:num>
  <w:num w:numId="7" w16cid:durableId="1515074719">
    <w:abstractNumId w:val="1"/>
  </w:num>
  <w:num w:numId="8" w16cid:durableId="856381515">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214855281">
    <w:abstractNumId w:val="1"/>
  </w:num>
  <w:num w:numId="10" w16cid:durableId="1256010738">
    <w:abstractNumId w:val="1"/>
  </w:num>
  <w:num w:numId="11" w16cid:durableId="252785245">
    <w:abstractNumId w:val="1"/>
  </w:num>
  <w:num w:numId="12" w16cid:durableId="1262646379">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73112393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efaultTabStop w:val="720"/>
  <w:drawingGridHorizontalSpacing w:val="360"/>
  <w:drawingGridVerticalSpacing w:val="360"/>
  <w:displayHorizontalDrawingGridEvery w:val="0"/>
  <w:displayVerticalDrawingGridEvery w:val="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B62E2"/>
    <w:rsid w:val="0017292B"/>
    <w:rsid w:val="001B62E2"/>
    <w:rsid w:val="001E74A4"/>
    <w:rsid w:val="0023647B"/>
    <w:rsid w:val="005757E3"/>
    <w:rsid w:val="0058298F"/>
    <w:rsid w:val="007C2A75"/>
    <w:rsid w:val="007E3B3B"/>
    <w:rsid w:val="009945A5"/>
    <w:rsid w:val="00B30EC7"/>
    <w:rsid w:val="00B85A57"/>
    <w:rsid w:val="00C8094A"/>
    <w:rsid w:val="00C92E15"/>
    <w:rsid w:val="00E1521B"/>
  </w:rsids>
  <m:mathPr>
    <m:mathFont m:val="Cambria Math"/>
    <m:brkBin m:val="before"/>
    <m:brkBinSub m:val="--"/>
    <m:smallFrac m:val="0"/>
    <m:dispDef/>
    <m:lMargin m:val="0"/>
    <m:rMargin m:val="0"/>
    <m:defJc m:val="centerGroup"/>
    <m:wrapRight/>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8108D1"/>
  <w15:docId w15:val="{BBC92D2E-18A6-4B27-B1FF-3565AA1938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pPr>
        <w:spacing w:after="200"/>
      </w:pPr>
    </w:pPrDefault>
  </w:docDefaults>
  <w:latentStyles w:defLockedState="0" w:defUIPriority="0" w:defSemiHidden="0" w:defUnhideWhenUsed="0" w:defQFormat="0" w:count="376">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List Paragraph"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Arial" w:eastAsia="Arial" w:hAnsi="Arial" w:cs="Arial"/>
      <w:rtl/>
    </w:rPr>
  </w:style>
  <w:style w:type="paragraph" w:styleId="Titre1">
    <w:name w:val="heading 1"/>
    <w:basedOn w:val="Normal"/>
    <w:next w:val="Corpsdetexte"/>
    <w:uiPriority w:val="9"/>
    <w:qFormat/>
    <w:pPr>
      <w:keepNext/>
      <w:keepLines/>
      <w:spacing w:before="480" w:after="0"/>
      <w:outlineLvl w:val="0"/>
    </w:pPr>
    <w:rPr>
      <w:rFonts w:asciiTheme="majorHAnsi" w:eastAsiaTheme="majorEastAsia" w:hAnsiTheme="majorHAnsi" w:cstheme="majorBidi"/>
      <w:b/>
      <w:bCs/>
      <w:color w:val="4F81BD" w:themeColor="accent1"/>
      <w:sz w:val="32"/>
      <w:szCs w:val="32"/>
    </w:rPr>
  </w:style>
  <w:style w:type="paragraph" w:styleId="Titre2">
    <w:name w:val="heading 2"/>
    <w:basedOn w:val="Normal"/>
    <w:next w:val="Corpsdetexte"/>
    <w:uiPriority w:val="9"/>
    <w:unhideWhenUsed/>
    <w:qFormat/>
    <w:pPr>
      <w:keepNext/>
      <w:keepLines/>
      <w:spacing w:before="200" w:after="0"/>
      <w:outlineLvl w:val="1"/>
    </w:pPr>
    <w:rPr>
      <w:rFonts w:asciiTheme="majorHAnsi" w:eastAsiaTheme="majorEastAsia" w:hAnsiTheme="majorHAnsi" w:cstheme="majorBidi"/>
      <w:b/>
      <w:bCs/>
      <w:color w:val="4F81BD" w:themeColor="accent1"/>
      <w:sz w:val="28"/>
      <w:szCs w:val="28"/>
    </w:rPr>
  </w:style>
  <w:style w:type="paragraph" w:styleId="Titre3">
    <w:name w:val="heading 3"/>
    <w:basedOn w:val="Normal"/>
    <w:next w:val="Corpsdetexte"/>
    <w:uiPriority w:val="9"/>
    <w:unhideWhenUsed/>
    <w:qFormat/>
    <w:pPr>
      <w:keepNext/>
      <w:keepLines/>
      <w:spacing w:before="200" w:after="0"/>
      <w:outlineLvl w:val="2"/>
    </w:pPr>
    <w:rPr>
      <w:rFonts w:asciiTheme="majorHAnsi" w:eastAsiaTheme="majorEastAsia" w:hAnsiTheme="majorHAnsi" w:cstheme="majorBidi"/>
      <w:b/>
      <w:bCs/>
      <w:color w:val="4F81BD" w:themeColor="accent1"/>
    </w:rPr>
  </w:style>
  <w:style w:type="paragraph" w:styleId="Titre4">
    <w:name w:val="heading 4"/>
    <w:basedOn w:val="Normal"/>
    <w:next w:val="Corpsdetexte"/>
    <w:uiPriority w:val="9"/>
    <w:unhideWhenUsed/>
    <w:qFormat/>
    <w:pPr>
      <w:keepNext/>
      <w:keepLines/>
      <w:spacing w:before="200" w:after="0"/>
      <w:outlineLvl w:val="3"/>
    </w:pPr>
    <w:rPr>
      <w:rFonts w:asciiTheme="majorHAnsi" w:eastAsiaTheme="majorEastAsia" w:hAnsiTheme="majorHAnsi" w:cstheme="majorBidi"/>
      <w:bCs/>
      <w:i/>
      <w:color w:val="4F81BD" w:themeColor="accent1"/>
    </w:rPr>
  </w:style>
  <w:style w:type="paragraph" w:styleId="Titre5">
    <w:name w:val="heading 5"/>
    <w:basedOn w:val="Normal"/>
    <w:next w:val="Corpsdetexte"/>
    <w:uiPriority w:val="9"/>
    <w:unhideWhenUsed/>
    <w:qFormat/>
    <w:pPr>
      <w:keepNext/>
      <w:keepLines/>
      <w:spacing w:before="200" w:after="0"/>
      <w:outlineLvl w:val="4"/>
    </w:pPr>
    <w:rPr>
      <w:rFonts w:asciiTheme="majorHAnsi" w:eastAsiaTheme="majorEastAsia" w:hAnsiTheme="majorHAnsi" w:cstheme="majorBidi"/>
      <w:iCs/>
      <w:color w:val="4F81BD" w:themeColor="accent1"/>
    </w:rPr>
  </w:style>
  <w:style w:type="paragraph" w:styleId="Titre6">
    <w:name w:val="heading 6"/>
    <w:basedOn w:val="Normal"/>
    <w:next w:val="Corpsdetexte"/>
    <w:uiPriority w:val="9"/>
    <w:unhideWhenUsed/>
    <w:qFormat/>
    <w:pPr>
      <w:keepNext/>
      <w:keepLines/>
      <w:spacing w:before="200" w:after="0"/>
      <w:outlineLvl w:val="5"/>
    </w:pPr>
    <w:rPr>
      <w:rFonts w:asciiTheme="majorHAnsi" w:eastAsiaTheme="majorEastAsia" w:hAnsiTheme="majorHAnsi" w:cstheme="majorBidi"/>
      <w:color w:val="4F81BD" w:themeColor="accent1"/>
    </w:rPr>
  </w:style>
  <w:style w:type="paragraph" w:styleId="Titre7">
    <w:name w:val="heading 7"/>
    <w:basedOn w:val="Normal"/>
    <w:next w:val="Corpsdetexte"/>
    <w:uiPriority w:val="9"/>
    <w:unhideWhenUsed/>
    <w:qFormat/>
    <w:pPr>
      <w:keepNext/>
      <w:keepLines/>
      <w:spacing w:before="200" w:after="0"/>
      <w:outlineLvl w:val="6"/>
    </w:pPr>
    <w:rPr>
      <w:rFonts w:asciiTheme="majorHAnsi" w:eastAsiaTheme="majorEastAsia" w:hAnsiTheme="majorHAnsi" w:cstheme="majorBidi"/>
      <w:color w:val="4F81BD" w:themeColor="accent1"/>
    </w:rPr>
  </w:style>
  <w:style w:type="paragraph" w:styleId="Titre8">
    <w:name w:val="heading 8"/>
    <w:basedOn w:val="Normal"/>
    <w:next w:val="Corpsdetexte"/>
    <w:uiPriority w:val="9"/>
    <w:unhideWhenUsed/>
    <w:qFormat/>
    <w:pPr>
      <w:keepNext/>
      <w:keepLines/>
      <w:spacing w:before="200" w:after="0"/>
      <w:outlineLvl w:val="7"/>
    </w:pPr>
    <w:rPr>
      <w:rFonts w:asciiTheme="majorHAnsi" w:eastAsiaTheme="majorEastAsia" w:hAnsiTheme="majorHAnsi" w:cstheme="majorBidi"/>
      <w:color w:val="4F81BD" w:themeColor="accent1"/>
    </w:rPr>
  </w:style>
  <w:style w:type="paragraph" w:styleId="Titre9">
    <w:name w:val="heading 9"/>
    <w:basedOn w:val="Normal"/>
    <w:next w:val="Corpsdetexte"/>
    <w:uiPriority w:val="9"/>
    <w:unhideWhenUsed/>
    <w:qFormat/>
    <w:pPr>
      <w:keepNext/>
      <w:keepLines/>
      <w:spacing w:before="200" w:after="0"/>
      <w:outlineLvl w:val="8"/>
    </w:pPr>
    <w:rPr>
      <w:rFonts w:asciiTheme="majorHAnsi" w:eastAsiaTheme="majorEastAsia" w:hAnsiTheme="majorHAnsi" w:cstheme="majorBidi"/>
      <w:color w:val="4F81BD" w:themeColor="accent1"/>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Corpsdetexte">
    <w:name w:val="Body Text"/>
    <w:basedOn w:val="Normal"/>
    <w:qFormat/>
    <w:pPr>
      <w:spacing w:before="180" w:after="180"/>
    </w:pPr>
  </w:style>
  <w:style w:type="paragraph" w:customStyle="1" w:styleId="FirstParagraph">
    <w:name w:val="First Paragraph"/>
    <w:basedOn w:val="Corpsdetexte"/>
    <w:next w:val="Corpsdetexte"/>
    <w:qFormat/>
  </w:style>
  <w:style w:type="paragraph" w:customStyle="1" w:styleId="Compact">
    <w:name w:val="Compact"/>
    <w:basedOn w:val="Corpsdetexte"/>
    <w:qFormat/>
    <w:pPr>
      <w:spacing w:before="36" w:after="36"/>
    </w:pPr>
  </w:style>
  <w:style w:type="paragraph" w:styleId="Titre">
    <w:name w:val="Title"/>
    <w:basedOn w:val="Normal"/>
    <w:next w:val="Corpsdetexte"/>
    <w:qFormat/>
    <w:pPr>
      <w:keepNext/>
      <w:keepLines/>
      <w:spacing w:before="480" w:after="240"/>
      <w:jc w:val="center"/>
    </w:pPr>
    <w:rPr>
      <w:rFonts w:asciiTheme="majorHAnsi" w:eastAsiaTheme="majorEastAsia" w:hAnsiTheme="majorHAnsi" w:cstheme="majorBidi"/>
      <w:b/>
      <w:bCs/>
      <w:color w:val="1F3864"/>
      <w:sz w:val="36"/>
      <w:szCs w:val="36"/>
    </w:rPr>
  </w:style>
  <w:style w:type="paragraph" w:styleId="Sous-titre">
    <w:name w:val="Subtitle"/>
    <w:basedOn w:val="Titre"/>
    <w:next w:val="Corpsdetexte"/>
    <w:qFormat/>
    <w:pPr>
      <w:spacing w:before="240"/>
    </w:pPr>
    <w:rPr>
      <w:rFonts w:ascii="Arial" w:eastAsia="Arial" w:hAnsi="Arial" w:cs="Arial"/>
      <w:color w:val="44546A"/>
      <w:sz w:val="30"/>
      <w:szCs w:val="30"/>
    </w:rPr>
  </w:style>
  <w:style w:type="paragraph" w:customStyle="1" w:styleId="Author">
    <w:name w:val="Author"/>
    <w:next w:val="Corpsdetexte"/>
    <w:qFormat/>
    <w:pPr>
      <w:keepNext/>
      <w:keepLines/>
      <w:jc w:val="center"/>
    </w:pPr>
    <w:rPr>
      <w:rFonts w:ascii="Arial" w:eastAsia="Arial" w:hAnsi="Arial" w:cs="Arial"/>
      <w:rtl/>
    </w:rPr>
  </w:style>
  <w:style w:type="paragraph" w:styleId="Date">
    <w:name w:val="Date"/>
    <w:next w:val="Corpsdetexte"/>
    <w:qFormat/>
    <w:pPr>
      <w:keepNext/>
      <w:keepLines/>
      <w:jc w:val="center"/>
    </w:pPr>
    <w:rPr>
      <w:rFonts w:ascii="Arial" w:eastAsia="Arial" w:hAnsi="Arial" w:cs="Arial"/>
      <w:rtl/>
    </w:rPr>
  </w:style>
  <w:style w:type="paragraph" w:customStyle="1" w:styleId="AbstractTitle">
    <w:name w:val="Abstract Title"/>
    <w:basedOn w:val="Normal"/>
    <w:next w:val="Abstract"/>
    <w:qFormat/>
    <w:pPr>
      <w:keepNext/>
      <w:keepLines/>
      <w:spacing w:before="300" w:after="0"/>
      <w:jc w:val="center"/>
    </w:pPr>
    <w:rPr>
      <w:b/>
      <w:color w:val="345A8A"/>
      <w:sz w:val="20"/>
      <w:szCs w:val="20"/>
    </w:rPr>
  </w:style>
  <w:style w:type="paragraph" w:customStyle="1" w:styleId="Abstract">
    <w:name w:val="Abstract"/>
    <w:basedOn w:val="Normal"/>
    <w:next w:val="Corpsdetexte"/>
    <w:qFormat/>
    <w:pPr>
      <w:keepNext/>
      <w:keepLines/>
      <w:spacing w:before="100" w:after="300"/>
    </w:pPr>
    <w:rPr>
      <w:sz w:val="20"/>
      <w:szCs w:val="20"/>
    </w:rPr>
  </w:style>
  <w:style w:type="paragraph" w:styleId="Bibliographie">
    <w:name w:val="Bibliography"/>
    <w:basedOn w:val="Normal"/>
    <w:qFormat/>
  </w:style>
  <w:style w:type="paragraph" w:styleId="Normalcentr">
    <w:name w:val="Block Text"/>
    <w:basedOn w:val="Corpsdetexte"/>
    <w:next w:val="Corpsdetexte"/>
    <w:uiPriority w:val="9"/>
    <w:unhideWhenUsed/>
    <w:qFormat/>
    <w:pPr>
      <w:spacing w:before="100" w:after="100"/>
      <w:ind w:left="480" w:right="480"/>
    </w:pPr>
  </w:style>
  <w:style w:type="paragraph" w:styleId="Notedebasdepage">
    <w:name w:val="footnote text"/>
    <w:basedOn w:val="Normal"/>
    <w:uiPriority w:val="9"/>
    <w:unhideWhenUsed/>
    <w:qFormat/>
  </w:style>
  <w:style w:type="table" w:customStyle="1" w:styleId="Table">
    <w:name w:val="Table"/>
    <w:semiHidden/>
    <w:unhideWhenUsed/>
    <w:qFormat/>
    <w:rPr>
      <w:rFonts w:ascii="Arial" w:eastAsia="Arial" w:hAnsi="Arial" w:cs="Arial"/>
      <w:sz w:val="20"/>
      <w:szCs w:val="20"/>
    </w:rPr>
    <w:tblPr>
      <w:tblInd w:w="0" w:type="dxa"/>
      <w:tblCellMar>
        <w:top w:w="0" w:type="dxa"/>
        <w:left w:w="108" w:type="dxa"/>
        <w:bottom w:w="0" w:type="dxa"/>
        <w:right w:w="108" w:type="dxa"/>
      </w:tblCellMar>
    </w:tblPr>
    <w:tblStylePr w:type="firstRow">
      <w:tblPr>
        <w:jc w:val="left"/>
      </w:tblPr>
      <w:trPr>
        <w:jc w:val="left"/>
      </w:trPr>
      <w:tcPr>
        <w:tcBorders>
          <w:bottom w:val="single" w:sz="0" w:space="0" w:color="auto"/>
        </w:tcBorders>
        <w:vAlign w:val="bottom"/>
      </w:tcPr>
    </w:tblStylePr>
  </w:style>
  <w:style w:type="paragraph" w:customStyle="1" w:styleId="DefinitionTerm">
    <w:name w:val="Definition Term"/>
    <w:basedOn w:val="Normal"/>
    <w:next w:val="Definition"/>
    <w:pPr>
      <w:keepNext/>
      <w:keepLines/>
      <w:spacing w:after="0"/>
    </w:pPr>
    <w:rPr>
      <w:b/>
    </w:rPr>
  </w:style>
  <w:style w:type="paragraph" w:customStyle="1" w:styleId="Definition">
    <w:name w:val="Definition"/>
    <w:basedOn w:val="Normal"/>
  </w:style>
  <w:style w:type="paragraph" w:styleId="Lgende">
    <w:name w:val="caption"/>
    <w:basedOn w:val="Normal"/>
    <w:link w:val="LgendeCar"/>
    <w:pPr>
      <w:spacing w:after="120"/>
    </w:pPr>
    <w:rPr>
      <w:i/>
    </w:rPr>
  </w:style>
  <w:style w:type="paragraph" w:customStyle="1" w:styleId="TableCaption">
    <w:name w:val="Table Caption"/>
    <w:basedOn w:val="Lgende"/>
    <w:pPr>
      <w:keepNext/>
    </w:pPr>
  </w:style>
  <w:style w:type="paragraph" w:customStyle="1" w:styleId="ImageCaption">
    <w:name w:val="Image Caption"/>
    <w:basedOn w:val="Lgende"/>
  </w:style>
  <w:style w:type="paragraph" w:customStyle="1" w:styleId="Figure">
    <w:name w:val="Figure"/>
    <w:basedOn w:val="Normal"/>
  </w:style>
  <w:style w:type="paragraph" w:customStyle="1" w:styleId="CaptionedFigure">
    <w:name w:val="Captioned Figure"/>
    <w:basedOn w:val="Figure"/>
    <w:pPr>
      <w:keepNext/>
    </w:pPr>
  </w:style>
  <w:style w:type="character" w:customStyle="1" w:styleId="LgendeCar">
    <w:name w:val="Légende Car"/>
    <w:basedOn w:val="Policepardfaut"/>
    <w:link w:val="Lgende"/>
    <w:rPr>
      <w:rFonts w:ascii="Arial" w:eastAsia="Arial" w:hAnsi="Arial" w:cs="Arial"/>
      <w:rtl/>
    </w:rPr>
  </w:style>
  <w:style w:type="character" w:customStyle="1" w:styleId="VerbatimChar">
    <w:name w:val="Verbatim Char"/>
    <w:basedOn w:val="LgendeCar"/>
    <w:link w:val="SourceCode"/>
    <w:rPr>
      <w:rFonts w:ascii="Arial" w:eastAsia="Arial" w:hAnsi="Arial" w:cs="Arial"/>
      <w:sz w:val="22"/>
      <w:szCs w:val="22"/>
      <w:rtl/>
    </w:rPr>
  </w:style>
  <w:style w:type="character" w:customStyle="1" w:styleId="SectionNumber">
    <w:name w:val="Section Number"/>
    <w:basedOn w:val="LgendeCar"/>
    <w:rPr>
      <w:rFonts w:ascii="Arial" w:eastAsia="Arial" w:hAnsi="Arial" w:cs="Arial"/>
      <w:rtl/>
    </w:rPr>
  </w:style>
  <w:style w:type="character" w:styleId="Appelnotedebasdep">
    <w:name w:val="footnote reference"/>
    <w:basedOn w:val="LgendeCar"/>
    <w:rPr>
      <w:rFonts w:ascii="Arial" w:eastAsia="Arial" w:hAnsi="Arial" w:cs="Arial"/>
      <w:vertAlign w:val="superscript"/>
      <w:rtl/>
    </w:rPr>
  </w:style>
  <w:style w:type="character" w:styleId="Lienhypertexte">
    <w:name w:val="Hyperlink"/>
    <w:basedOn w:val="LgendeCar"/>
    <w:rPr>
      <w:rFonts w:ascii="Arial" w:eastAsia="Arial" w:hAnsi="Arial" w:cs="Arial"/>
      <w:color w:val="4F81BD" w:themeColor="accent1"/>
      <w:rtl/>
    </w:rPr>
  </w:style>
  <w:style w:type="paragraph" w:styleId="En-ttedetabledesmatires">
    <w:name w:val="TOC Heading"/>
    <w:basedOn w:val="Titre1"/>
    <w:next w:val="Corpsdetexte"/>
    <w:uiPriority w:val="39"/>
    <w:unhideWhenUsed/>
    <w:qFormat/>
    <w:pPr>
      <w:spacing w:before="240" w:line="259" w:lineRule="auto"/>
      <w:outlineLvl w:val="9"/>
    </w:pPr>
    <w:rPr>
      <w:b w:val="0"/>
      <w:bCs w:val="0"/>
      <w:color w:val="365F91" w:themeColor="accent1" w:themeShade="BF"/>
    </w:rPr>
  </w:style>
  <w:style w:type="paragraph" w:customStyle="1" w:styleId="SourceCode">
    <w:name w:val="Source Code"/>
    <w:basedOn w:val="Normal"/>
    <w:link w:val="VerbatimChar"/>
    <w:pPr>
      <w:wordWrap w:val="0"/>
    </w:pPr>
  </w:style>
  <w:style w:type="character" w:customStyle="1" w:styleId="KeywordTok">
    <w:name w:val="KeywordTok"/>
    <w:basedOn w:val="VerbatimChar"/>
    <w:rPr>
      <w:rFonts w:ascii="Arial" w:eastAsia="Arial" w:hAnsi="Arial" w:cs="Arial"/>
      <w:b/>
      <w:color w:val="007020"/>
      <w:sz w:val="22"/>
      <w:szCs w:val="22"/>
      <w:rtl/>
    </w:rPr>
  </w:style>
  <w:style w:type="character" w:customStyle="1" w:styleId="DataTypeTok">
    <w:name w:val="DataTypeTok"/>
    <w:basedOn w:val="VerbatimChar"/>
    <w:rPr>
      <w:rFonts w:ascii="Arial" w:eastAsia="Arial" w:hAnsi="Arial" w:cs="Arial"/>
      <w:color w:val="902000"/>
      <w:sz w:val="22"/>
      <w:szCs w:val="22"/>
      <w:rtl/>
    </w:rPr>
  </w:style>
  <w:style w:type="character" w:customStyle="1" w:styleId="DecValTok">
    <w:name w:val="DecValTok"/>
    <w:basedOn w:val="VerbatimChar"/>
    <w:rPr>
      <w:rFonts w:ascii="Arial" w:eastAsia="Arial" w:hAnsi="Arial" w:cs="Arial"/>
      <w:color w:val="40A070"/>
      <w:sz w:val="22"/>
      <w:szCs w:val="22"/>
      <w:rtl/>
    </w:rPr>
  </w:style>
  <w:style w:type="character" w:customStyle="1" w:styleId="BaseNTok">
    <w:name w:val="BaseNTok"/>
    <w:basedOn w:val="VerbatimChar"/>
    <w:rPr>
      <w:rFonts w:ascii="Arial" w:eastAsia="Arial" w:hAnsi="Arial" w:cs="Arial"/>
      <w:color w:val="40A070"/>
      <w:sz w:val="22"/>
      <w:szCs w:val="22"/>
      <w:rtl/>
    </w:rPr>
  </w:style>
  <w:style w:type="character" w:customStyle="1" w:styleId="FloatTok">
    <w:name w:val="FloatTok"/>
    <w:basedOn w:val="VerbatimChar"/>
    <w:rPr>
      <w:rFonts w:ascii="Arial" w:eastAsia="Arial" w:hAnsi="Arial" w:cs="Arial"/>
      <w:color w:val="40A070"/>
      <w:sz w:val="22"/>
      <w:szCs w:val="22"/>
      <w:rtl/>
    </w:rPr>
  </w:style>
  <w:style w:type="character" w:customStyle="1" w:styleId="ConstantTok">
    <w:name w:val="ConstantTok"/>
    <w:basedOn w:val="VerbatimChar"/>
    <w:rPr>
      <w:rFonts w:ascii="Arial" w:eastAsia="Arial" w:hAnsi="Arial" w:cs="Arial"/>
      <w:color w:val="880000"/>
      <w:sz w:val="22"/>
      <w:szCs w:val="22"/>
      <w:rtl/>
    </w:rPr>
  </w:style>
  <w:style w:type="character" w:customStyle="1" w:styleId="CharTok">
    <w:name w:val="CharTok"/>
    <w:basedOn w:val="VerbatimChar"/>
    <w:rPr>
      <w:rFonts w:ascii="Arial" w:eastAsia="Arial" w:hAnsi="Arial" w:cs="Arial"/>
      <w:color w:val="4070A0"/>
      <w:sz w:val="22"/>
      <w:szCs w:val="22"/>
      <w:rtl/>
    </w:rPr>
  </w:style>
  <w:style w:type="character" w:customStyle="1" w:styleId="SpecialCharTok">
    <w:name w:val="SpecialCharTok"/>
    <w:basedOn w:val="VerbatimChar"/>
    <w:rPr>
      <w:rFonts w:ascii="Arial" w:eastAsia="Arial" w:hAnsi="Arial" w:cs="Arial"/>
      <w:color w:val="4070A0"/>
      <w:sz w:val="22"/>
      <w:szCs w:val="22"/>
      <w:rtl/>
    </w:rPr>
  </w:style>
  <w:style w:type="character" w:customStyle="1" w:styleId="StringTok">
    <w:name w:val="StringTok"/>
    <w:basedOn w:val="VerbatimChar"/>
    <w:rPr>
      <w:rFonts w:ascii="Arial" w:eastAsia="Arial" w:hAnsi="Arial" w:cs="Arial"/>
      <w:color w:val="4070A0"/>
      <w:sz w:val="22"/>
      <w:szCs w:val="22"/>
      <w:rtl/>
    </w:rPr>
  </w:style>
  <w:style w:type="character" w:customStyle="1" w:styleId="VerbatimStringTok">
    <w:name w:val="VerbatimStringTok"/>
    <w:basedOn w:val="VerbatimChar"/>
    <w:rPr>
      <w:rFonts w:ascii="Arial" w:eastAsia="Arial" w:hAnsi="Arial" w:cs="Arial"/>
      <w:color w:val="4070A0"/>
      <w:sz w:val="22"/>
      <w:szCs w:val="22"/>
      <w:rtl/>
    </w:rPr>
  </w:style>
  <w:style w:type="character" w:customStyle="1" w:styleId="SpecialStringTok">
    <w:name w:val="SpecialStringTok"/>
    <w:basedOn w:val="VerbatimChar"/>
    <w:rPr>
      <w:rFonts w:ascii="Arial" w:eastAsia="Arial" w:hAnsi="Arial" w:cs="Arial"/>
      <w:color w:val="BB6688"/>
      <w:sz w:val="22"/>
      <w:szCs w:val="22"/>
      <w:rtl/>
    </w:rPr>
  </w:style>
  <w:style w:type="character" w:customStyle="1" w:styleId="ImportTok">
    <w:name w:val="ImportTok"/>
    <w:basedOn w:val="VerbatimChar"/>
    <w:rPr>
      <w:rFonts w:ascii="Arial" w:eastAsia="Arial" w:hAnsi="Arial" w:cs="Arial"/>
      <w:b/>
      <w:color w:val="008000"/>
      <w:sz w:val="22"/>
      <w:szCs w:val="22"/>
      <w:rtl/>
    </w:rPr>
  </w:style>
  <w:style w:type="character" w:customStyle="1" w:styleId="CommentTok">
    <w:name w:val="CommentTok"/>
    <w:basedOn w:val="VerbatimChar"/>
    <w:rPr>
      <w:rFonts w:ascii="Arial" w:eastAsia="Arial" w:hAnsi="Arial" w:cs="Arial"/>
      <w:i/>
      <w:color w:val="60A0B0"/>
      <w:sz w:val="22"/>
      <w:szCs w:val="22"/>
      <w:rtl/>
    </w:rPr>
  </w:style>
  <w:style w:type="character" w:customStyle="1" w:styleId="DocumentationTok">
    <w:name w:val="DocumentationTok"/>
    <w:basedOn w:val="VerbatimChar"/>
    <w:rPr>
      <w:rFonts w:ascii="Arial" w:eastAsia="Arial" w:hAnsi="Arial" w:cs="Arial"/>
      <w:i/>
      <w:color w:val="BA2121"/>
      <w:sz w:val="22"/>
      <w:szCs w:val="22"/>
      <w:rtl/>
    </w:rPr>
  </w:style>
  <w:style w:type="character" w:customStyle="1" w:styleId="AnnotationTok">
    <w:name w:val="AnnotationTok"/>
    <w:basedOn w:val="VerbatimChar"/>
    <w:rPr>
      <w:rFonts w:ascii="Arial" w:eastAsia="Arial" w:hAnsi="Arial" w:cs="Arial"/>
      <w:b/>
      <w:i/>
      <w:color w:val="60A0B0"/>
      <w:sz w:val="22"/>
      <w:szCs w:val="22"/>
      <w:rtl/>
    </w:rPr>
  </w:style>
  <w:style w:type="character" w:customStyle="1" w:styleId="CommentVarTok">
    <w:name w:val="CommentVarTok"/>
    <w:basedOn w:val="VerbatimChar"/>
    <w:rPr>
      <w:rFonts w:ascii="Arial" w:eastAsia="Arial" w:hAnsi="Arial" w:cs="Arial"/>
      <w:b/>
      <w:i/>
      <w:color w:val="60A0B0"/>
      <w:sz w:val="22"/>
      <w:szCs w:val="22"/>
      <w:rtl/>
    </w:rPr>
  </w:style>
  <w:style w:type="character" w:customStyle="1" w:styleId="OtherTok">
    <w:name w:val="OtherTok"/>
    <w:basedOn w:val="VerbatimChar"/>
    <w:rPr>
      <w:rFonts w:ascii="Arial" w:eastAsia="Arial" w:hAnsi="Arial" w:cs="Arial"/>
      <w:color w:val="007020"/>
      <w:sz w:val="22"/>
      <w:szCs w:val="22"/>
      <w:rtl/>
    </w:rPr>
  </w:style>
  <w:style w:type="character" w:customStyle="1" w:styleId="FunctionTok">
    <w:name w:val="FunctionTok"/>
    <w:basedOn w:val="VerbatimChar"/>
    <w:rPr>
      <w:rFonts w:ascii="Arial" w:eastAsia="Arial" w:hAnsi="Arial" w:cs="Arial"/>
      <w:color w:val="06287E"/>
      <w:sz w:val="22"/>
      <w:szCs w:val="22"/>
      <w:rtl/>
    </w:rPr>
  </w:style>
  <w:style w:type="character" w:customStyle="1" w:styleId="VariableTok">
    <w:name w:val="VariableTok"/>
    <w:basedOn w:val="VerbatimChar"/>
    <w:rPr>
      <w:rFonts w:ascii="Arial" w:eastAsia="Arial" w:hAnsi="Arial" w:cs="Arial"/>
      <w:color w:val="19177C"/>
      <w:sz w:val="22"/>
      <w:szCs w:val="22"/>
      <w:rtl/>
    </w:rPr>
  </w:style>
  <w:style w:type="character" w:customStyle="1" w:styleId="ControlFlowTok">
    <w:name w:val="ControlFlowTok"/>
    <w:basedOn w:val="VerbatimChar"/>
    <w:rPr>
      <w:rFonts w:ascii="Arial" w:eastAsia="Arial" w:hAnsi="Arial" w:cs="Arial"/>
      <w:b/>
      <w:color w:val="007020"/>
      <w:sz w:val="22"/>
      <w:szCs w:val="22"/>
      <w:rtl/>
    </w:rPr>
  </w:style>
  <w:style w:type="character" w:customStyle="1" w:styleId="OperatorTok">
    <w:name w:val="OperatorTok"/>
    <w:basedOn w:val="VerbatimChar"/>
    <w:rPr>
      <w:rFonts w:ascii="Arial" w:eastAsia="Arial" w:hAnsi="Arial" w:cs="Arial"/>
      <w:color w:val="666666"/>
      <w:sz w:val="22"/>
      <w:szCs w:val="22"/>
      <w:rtl/>
    </w:rPr>
  </w:style>
  <w:style w:type="character" w:customStyle="1" w:styleId="BuiltInTok">
    <w:name w:val="BuiltInTok"/>
    <w:basedOn w:val="VerbatimChar"/>
    <w:rPr>
      <w:rFonts w:ascii="Arial" w:eastAsia="Arial" w:hAnsi="Arial" w:cs="Arial"/>
      <w:color w:val="008000"/>
      <w:sz w:val="22"/>
      <w:szCs w:val="22"/>
      <w:rtl/>
    </w:rPr>
  </w:style>
  <w:style w:type="character" w:customStyle="1" w:styleId="ExtensionTok">
    <w:name w:val="ExtensionTok"/>
    <w:basedOn w:val="VerbatimChar"/>
    <w:rPr>
      <w:rFonts w:ascii="Arial" w:eastAsia="Arial" w:hAnsi="Arial" w:cs="Arial"/>
      <w:sz w:val="22"/>
      <w:szCs w:val="22"/>
      <w:rtl/>
    </w:rPr>
  </w:style>
  <w:style w:type="character" w:customStyle="1" w:styleId="PreprocessorTok">
    <w:name w:val="PreprocessorTok"/>
    <w:basedOn w:val="VerbatimChar"/>
    <w:rPr>
      <w:rFonts w:ascii="Arial" w:eastAsia="Arial" w:hAnsi="Arial" w:cs="Arial"/>
      <w:color w:val="BC7A00"/>
      <w:sz w:val="22"/>
      <w:szCs w:val="22"/>
      <w:rtl/>
    </w:rPr>
  </w:style>
  <w:style w:type="character" w:customStyle="1" w:styleId="AttributeTok">
    <w:name w:val="AttributeTok"/>
    <w:basedOn w:val="VerbatimChar"/>
    <w:rPr>
      <w:rFonts w:ascii="Arial" w:eastAsia="Arial" w:hAnsi="Arial" w:cs="Arial"/>
      <w:color w:val="7D9029"/>
      <w:sz w:val="22"/>
      <w:szCs w:val="22"/>
      <w:rtl/>
    </w:rPr>
  </w:style>
  <w:style w:type="character" w:customStyle="1" w:styleId="RegionMarkerTok">
    <w:name w:val="RegionMarkerTok"/>
    <w:basedOn w:val="VerbatimChar"/>
    <w:rPr>
      <w:rFonts w:ascii="Arial" w:eastAsia="Arial" w:hAnsi="Arial" w:cs="Arial"/>
      <w:sz w:val="22"/>
      <w:szCs w:val="22"/>
      <w:rtl/>
    </w:rPr>
  </w:style>
  <w:style w:type="character" w:customStyle="1" w:styleId="InformationTok">
    <w:name w:val="InformationTok"/>
    <w:basedOn w:val="VerbatimChar"/>
    <w:rPr>
      <w:rFonts w:ascii="Arial" w:eastAsia="Arial" w:hAnsi="Arial" w:cs="Arial"/>
      <w:b/>
      <w:i/>
      <w:color w:val="60A0B0"/>
      <w:sz w:val="22"/>
      <w:szCs w:val="22"/>
      <w:rtl/>
    </w:rPr>
  </w:style>
  <w:style w:type="character" w:customStyle="1" w:styleId="WarningTok">
    <w:name w:val="WarningTok"/>
    <w:basedOn w:val="VerbatimChar"/>
    <w:rPr>
      <w:rFonts w:ascii="Arial" w:eastAsia="Arial" w:hAnsi="Arial" w:cs="Arial"/>
      <w:b/>
      <w:i/>
      <w:color w:val="60A0B0"/>
      <w:sz w:val="22"/>
      <w:szCs w:val="22"/>
      <w:rtl/>
    </w:rPr>
  </w:style>
  <w:style w:type="character" w:customStyle="1" w:styleId="AlertTok">
    <w:name w:val="AlertTok"/>
    <w:basedOn w:val="VerbatimChar"/>
    <w:rPr>
      <w:rFonts w:ascii="Arial" w:eastAsia="Arial" w:hAnsi="Arial" w:cs="Arial"/>
      <w:b/>
      <w:color w:val="FF0000"/>
      <w:sz w:val="22"/>
      <w:szCs w:val="22"/>
      <w:rtl/>
    </w:rPr>
  </w:style>
  <w:style w:type="character" w:customStyle="1" w:styleId="ErrorTok">
    <w:name w:val="ErrorTok"/>
    <w:basedOn w:val="VerbatimChar"/>
    <w:rPr>
      <w:rFonts w:ascii="Arial" w:eastAsia="Arial" w:hAnsi="Arial" w:cs="Arial"/>
      <w:b/>
      <w:color w:val="FF0000"/>
      <w:sz w:val="22"/>
      <w:szCs w:val="22"/>
      <w:rtl/>
    </w:rPr>
  </w:style>
  <w:style w:type="character" w:customStyle="1" w:styleId="NormalTok">
    <w:name w:val="NormalTok"/>
    <w:basedOn w:val="VerbatimChar"/>
    <w:rPr>
      <w:rFonts w:ascii="Arial" w:eastAsia="Arial" w:hAnsi="Arial" w:cs="Arial"/>
      <w:sz w:val="22"/>
      <w:szCs w:val="22"/>
      <w:rtl/>
    </w:rPr>
  </w:style>
  <w:style w:type="paragraph" w:styleId="En-tte">
    <w:name w:val="header"/>
    <w:basedOn w:val="Normal"/>
    <w:link w:val="En-tteCar"/>
    <w:rsid w:val="00B30EC7"/>
    <w:pPr>
      <w:tabs>
        <w:tab w:val="center" w:pos="4153"/>
        <w:tab w:val="right" w:pos="8306"/>
      </w:tabs>
      <w:spacing w:after="0"/>
    </w:pPr>
  </w:style>
  <w:style w:type="character" w:customStyle="1" w:styleId="En-tteCar">
    <w:name w:val="En-tête Car"/>
    <w:basedOn w:val="Policepardfaut"/>
    <w:link w:val="En-tte"/>
    <w:rsid w:val="00B30EC7"/>
    <w:rPr>
      <w:rFonts w:ascii="Arial" w:eastAsia="Arial" w:hAnsi="Arial" w:cs="Arial"/>
    </w:rPr>
  </w:style>
  <w:style w:type="paragraph" w:styleId="Pieddepage">
    <w:name w:val="footer"/>
    <w:basedOn w:val="Normal"/>
    <w:link w:val="PieddepageCar"/>
    <w:rsid w:val="00B30EC7"/>
    <w:pPr>
      <w:tabs>
        <w:tab w:val="center" w:pos="4153"/>
        <w:tab w:val="right" w:pos="8306"/>
      </w:tabs>
      <w:spacing w:after="0"/>
    </w:pPr>
  </w:style>
  <w:style w:type="character" w:customStyle="1" w:styleId="PieddepageCar">
    <w:name w:val="Pied de page Car"/>
    <w:basedOn w:val="Policepardfaut"/>
    <w:link w:val="Pieddepage"/>
    <w:rsid w:val="00B30EC7"/>
    <w:rPr>
      <w:rFonts w:ascii="Arial" w:eastAsia="Arial" w:hAnsi="Arial" w:cs="Arial"/>
    </w:rPr>
  </w:style>
  <w:style w:type="table" w:styleId="Grilledutableau">
    <w:name w:val="Table Grid"/>
    <w:basedOn w:val="TableauNormal"/>
    <w:rsid w:val="00B85A57"/>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ragraphedeliste">
    <w:name w:val="List Paragraph"/>
    <w:basedOn w:val="Normal"/>
    <w:qFormat/>
    <w:rsid w:val="0023647B"/>
    <w:pPr>
      <w:spacing w:after="160" w:line="259" w:lineRule="auto"/>
      <w:ind w:left="720"/>
      <w:contextualSpacing/>
    </w:pPr>
    <w:rPr>
      <w:rFonts w:ascii="Calibri" w:eastAsia="Calibri" w:hAnsi="Calibri" w:cs="Calibri"/>
      <w:sz w:val="22"/>
      <w:szCs w:val="22"/>
      <w:rtl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3</Pages>
  <Words>1550</Words>
  <Characters>8838</Characters>
  <Application>Microsoft Office Word</Application>
  <DocSecurity>0</DocSecurity>
  <Lines>73</Lines>
  <Paragraphs>20</Paragraphs>
  <ScaleCrop>false</ScaleCrop>
  <HeadingPairs>
    <vt:vector size="2" baseType="variant">
      <vt:variant>
        <vt:lpstr>Titre</vt:lpstr>
      </vt:variant>
      <vt:variant>
        <vt:i4>1</vt:i4>
      </vt:variant>
    </vt:vector>
  </HeadingPairs>
  <TitlesOfParts>
    <vt:vector size="1" baseType="lpstr">
      <vt:lpstr>تقرير حول الدورة التكوينية الوطنية في التعليم الصريح</vt:lpstr>
    </vt:vector>
  </TitlesOfParts>
  <Company/>
  <LinksUpToDate>false</LinksUpToDate>
  <CharactersWithSpaces>10368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تقرير حول الدورة التكوينية الوطنية في التعليم الصريح</dc:title>
  <dc:creator>user</dc:creator>
  <cp:keywords/>
  <cp:lastModifiedBy>user</cp:lastModifiedBy>
  <cp:revision>2</cp:revision>
  <dcterms:created xsi:type="dcterms:W3CDTF">2026-10-12T18:56:00Z</dcterms:created>
  <dcterms:modified xsi:type="dcterms:W3CDTF">2026-10-12T18:56:00Z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ubtitle">
    <vt:lpwstr>لفائدة الأساتذة بمؤسسات الريادة – موسم 2026 / 2027 – أكتوبر 2026</vt:lpwstr>
  </property>
</Properties>
</file>